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val="en-GB" w:eastAsia="en-GB"/>
        </w:rPr>
        <w:id w:val="1080872394"/>
        <w:docPartObj>
          <w:docPartGallery w:val="Cover Pages"/>
          <w:docPartUnique/>
        </w:docPartObj>
      </w:sdtPr>
      <w:sdtEndPr>
        <w:rPr>
          <w:rFonts w:ascii="Arial" w:eastAsia="Arial" w:hAnsi="Arial" w:cs="Arial"/>
          <w:sz w:val="22"/>
          <w:szCs w:val="22"/>
        </w:rPr>
      </w:sdtEndPr>
      <w:sdtContent>
        <w:p w14:paraId="3334F70B" w14:textId="77777777" w:rsidR="00537EBD" w:rsidRDefault="00537EBD">
          <w:pPr>
            <w:pStyle w:val="NoSpacing"/>
            <w:rPr>
              <w:rFonts w:asciiTheme="majorHAnsi" w:eastAsiaTheme="majorEastAsia" w:hAnsiTheme="majorHAnsi" w:cstheme="majorBidi"/>
              <w:sz w:val="72"/>
              <w:szCs w:val="72"/>
            </w:rPr>
          </w:pPr>
        </w:p>
        <w:p w14:paraId="6507F40A" w14:textId="119E5342" w:rsidR="00537EBD" w:rsidRDefault="00537EBD">
          <w:pPr>
            <w:pStyle w:val="NoSpacing"/>
            <w:rPr>
              <w:rFonts w:asciiTheme="majorHAnsi" w:eastAsiaTheme="majorEastAsia" w:hAnsiTheme="majorHAnsi" w:cstheme="majorBidi"/>
              <w:sz w:val="72"/>
              <w:szCs w:val="72"/>
            </w:rPr>
          </w:pPr>
          <w:r>
            <w:rPr>
              <w:noProof/>
              <w:lang w:val="en-GB" w:eastAsia="en-GB"/>
            </w:rPr>
            <w:drawing>
              <wp:anchor distT="0" distB="0" distL="114300" distR="114300" simplePos="0" relativeHeight="251667968" behindDoc="0" locked="0" layoutInCell="1" allowOverlap="1" wp14:anchorId="1B922D2D" wp14:editId="51DBDFCD">
                <wp:simplePos x="0" y="0"/>
                <wp:positionH relativeFrom="column">
                  <wp:posOffset>1635760</wp:posOffset>
                </wp:positionH>
                <wp:positionV relativeFrom="paragraph">
                  <wp:posOffset>-180975</wp:posOffset>
                </wp:positionV>
                <wp:extent cx="2724150" cy="838200"/>
                <wp:effectExtent l="0" t="0" r="0" b="0"/>
                <wp:wrapTight wrapText="bothSides">
                  <wp:wrapPolygon edited="0">
                    <wp:start x="0" y="0"/>
                    <wp:lineTo x="0" y="21109"/>
                    <wp:lineTo x="21449" y="21109"/>
                    <wp:lineTo x="21449" y="0"/>
                    <wp:lineTo x="0" y="0"/>
                  </wp:wrapPolygon>
                </wp:wrapTight>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pic:cNvPicPr>
                          <a:picLocks noChangeAspect="1"/>
                        </pic:cNvPicPr>
                      </pic:nvPicPr>
                      <pic:blipFill>
                        <a:blip r:embed="rId9" cstate="print">
                          <a:extLst>
                            <a:ext uri="{28A0092B-C50C-407E-A947-70E740481C1C}">
                              <a14:useLocalDpi xmlns:a14="http://schemas.microsoft.com/office/drawing/2010/main" val="0"/>
                            </a:ext>
                          </a:extLst>
                        </a:blip>
                        <a:srcRect l="3123" t="2908" r="2930" b="7281"/>
                        <a:stretch>
                          <a:fillRect/>
                        </a:stretch>
                      </pic:blipFill>
                      <pic:spPr bwMode="auto">
                        <a:xfrm>
                          <a:off x="0" y="0"/>
                          <a:ext cx="2724150" cy="838200"/>
                        </a:xfrm>
                        <a:prstGeom prst="rect">
                          <a:avLst/>
                        </a:prstGeom>
                        <a:noFill/>
                      </pic:spPr>
                    </pic:pic>
                  </a:graphicData>
                </a:graphic>
                <wp14:sizeRelV relativeFrom="margin">
                  <wp14:pctHeight>0</wp14:pctHeight>
                </wp14:sizeRelV>
              </wp:anchor>
            </w:drawing>
          </w:r>
        </w:p>
        <w:p w14:paraId="1DAE4EBD" w14:textId="73114DE0" w:rsidR="00537EBD" w:rsidRDefault="00537EBD">
          <w:pPr>
            <w:pStyle w:val="NoSpacing"/>
            <w:rPr>
              <w:rFonts w:asciiTheme="majorHAnsi" w:eastAsiaTheme="majorEastAsia" w:hAnsiTheme="majorHAnsi" w:cstheme="majorBidi"/>
              <w:sz w:val="72"/>
              <w:szCs w:val="72"/>
            </w:rPr>
          </w:pPr>
          <w:r>
            <w:rPr>
              <w:noProof/>
              <w:lang w:val="en-GB" w:eastAsia="en-GB"/>
            </w:rPr>
            <w:t xml:space="preserve"> </w:t>
          </w:r>
          <w:r>
            <w:rPr>
              <w:noProof/>
              <w:lang w:val="en-GB" w:eastAsia="en-GB"/>
            </w:rPr>
            <mc:AlternateContent>
              <mc:Choice Requires="wps">
                <w:drawing>
                  <wp:anchor distT="0" distB="0" distL="114300" distR="114300" simplePos="0" relativeHeight="251662848" behindDoc="0" locked="0" layoutInCell="0" allowOverlap="1" wp14:anchorId="76EDD20B" wp14:editId="1C9FDF58">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4EE8596" id="Rectangle 2" o:spid="_x0000_s1026" style="position:absolute;margin-left:0;margin-top:0;width:642.6pt;height:64.4pt;z-index:25166284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4bacc6 [3208]" strokecolor="#4f81bd [3204]">
                    <w10:wrap anchorx="page" anchory="page"/>
                  </v:rect>
                </w:pict>
              </mc:Fallback>
            </mc:AlternateContent>
          </w:r>
          <w:r>
            <w:rPr>
              <w:noProof/>
              <w:lang w:val="en-GB" w:eastAsia="en-GB"/>
            </w:rPr>
            <mc:AlternateContent>
              <mc:Choice Requires="wps">
                <w:drawing>
                  <wp:anchor distT="0" distB="0" distL="114300" distR="114300" simplePos="0" relativeHeight="251665920" behindDoc="0" locked="0" layoutInCell="0" allowOverlap="1" wp14:anchorId="3C47E34C" wp14:editId="2CE7BA85">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F89EE84" id="Rectangle 5" o:spid="_x0000_s1026" style="position:absolute;margin-left:0;margin-top:0;width:7.15pt;height:831.2pt;z-index:25166592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BSwS+6JgIAAD8EAAAOAAAAAAAAAAAAAAAAAC4CAABkcnMvZTJvRG9j&#10;LnhtbFBLAQItABQABgAIAAAAIQB9IeJz3QAAAAUBAAAPAAAAAAAAAAAAAAAAAIAEAABkcnMvZG93&#10;bnJldi54bWxQSwUGAAAAAAQABADzAAAAigUAAAAA&#10;" o:allowincell="f" strokecolor="#4f81bd [3204]">
                    <w10:wrap anchorx="margin" anchory="page"/>
                  </v:rect>
                </w:pict>
              </mc:Fallback>
            </mc:AlternateContent>
          </w:r>
          <w:r>
            <w:rPr>
              <w:noProof/>
              <w:lang w:val="en-GB" w:eastAsia="en-GB"/>
            </w:rPr>
            <mc:AlternateContent>
              <mc:Choice Requires="wps">
                <w:drawing>
                  <wp:anchor distT="0" distB="0" distL="114300" distR="114300" simplePos="0" relativeHeight="251664896" behindDoc="0" locked="0" layoutInCell="0" allowOverlap="1" wp14:anchorId="50EB46F9" wp14:editId="6D0EA34F">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C152FC7" id="Rectangle 4" o:spid="_x0000_s1026" style="position:absolute;margin-left:0;margin-top:0;width:7.15pt;height:831.2pt;z-index:25166489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sf7t+ScCAA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r>
            <w:rPr>
              <w:noProof/>
              <w:lang w:val="en-GB" w:eastAsia="en-GB"/>
            </w:rPr>
            <mc:AlternateContent>
              <mc:Choice Requires="wps">
                <w:drawing>
                  <wp:anchor distT="0" distB="0" distL="114300" distR="114300" simplePos="0" relativeHeight="251663872" behindDoc="0" locked="0" layoutInCell="0" allowOverlap="1" wp14:anchorId="659BFA45" wp14:editId="2BDD0A8D">
                    <wp:simplePos x="0" y="0"/>
                    <wp:positionH relativeFrom="page">
                      <wp:align>center</wp:align>
                    </wp:positionH>
                    <wp:positionV relativeFrom="topMargin">
                      <wp:align>top</wp:align>
                    </wp:positionV>
                    <wp:extent cx="8161020" cy="82296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0CE00AE" id="Rectangle 3" o:spid="_x0000_s1026" style="position:absolute;margin-left:0;margin-top:0;width:642.6pt;height:64.8pt;z-index:25166387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4bacc6 [3208]" strokecolor="#4f81bd [3204]">
                    <w10:wrap anchorx="page" anchory="margin"/>
                  </v:rect>
                </w:pict>
              </mc:Fallback>
            </mc:AlternateContent>
          </w:r>
        </w:p>
        <w:sdt>
          <w:sdtPr>
            <w:rPr>
              <w:rFonts w:asciiTheme="majorHAnsi" w:eastAsiaTheme="majorEastAsia" w:hAnsiTheme="majorHAnsi" w:cstheme="majorBidi"/>
              <w:sz w:val="72"/>
              <w:szCs w:val="72"/>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14:paraId="430F69A0" w14:textId="5771DB39" w:rsidR="00537EBD" w:rsidRDefault="00537EBD">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lang w:val="en-GB"/>
                </w:rPr>
                <w:t>TEMS Newsletter</w:t>
              </w:r>
            </w:p>
          </w:sdtContent>
        </w:sdt>
        <w:p w14:paraId="4A892FAC" w14:textId="31813632" w:rsidR="00537EBD" w:rsidRDefault="00537EBD">
          <w:pPr>
            <w:pStyle w:val="NoSpacing"/>
            <w:rPr>
              <w:rFonts w:asciiTheme="majorHAnsi" w:eastAsiaTheme="majorEastAsia" w:hAnsiTheme="majorHAnsi" w:cstheme="majorBidi"/>
              <w:sz w:val="36"/>
              <w:szCs w:val="36"/>
            </w:rPr>
          </w:pPr>
          <w:r>
            <w:rPr>
              <w:rFonts w:asciiTheme="majorHAnsi" w:eastAsiaTheme="majorEastAsia" w:hAnsiTheme="majorHAnsi" w:cstheme="majorBidi"/>
              <w:sz w:val="36"/>
              <w:szCs w:val="36"/>
            </w:rPr>
            <w:t>Spring 2019</w:t>
          </w:r>
          <w:r w:rsidR="00FC702C">
            <w:rPr>
              <w:rFonts w:asciiTheme="majorHAnsi" w:eastAsiaTheme="majorEastAsia" w:hAnsiTheme="majorHAnsi" w:cstheme="majorBidi"/>
              <w:sz w:val="36"/>
              <w:szCs w:val="36"/>
            </w:rPr>
            <w:t xml:space="preserve">; </w:t>
          </w:r>
          <w:r w:rsidR="00FC702C" w:rsidRPr="00FC702C">
            <w:rPr>
              <w:rFonts w:asciiTheme="majorHAnsi" w:eastAsiaTheme="majorEastAsia" w:hAnsiTheme="majorHAnsi" w:cstheme="majorBidi"/>
              <w:i/>
              <w:sz w:val="36"/>
              <w:szCs w:val="36"/>
            </w:rPr>
            <w:t xml:space="preserve">authors </w:t>
          </w:r>
          <w:proofErr w:type="spellStart"/>
          <w:r w:rsidR="00FC702C" w:rsidRPr="00FC702C">
            <w:rPr>
              <w:rFonts w:asciiTheme="majorHAnsi" w:eastAsiaTheme="majorEastAsia" w:hAnsiTheme="majorHAnsi" w:cstheme="majorBidi"/>
              <w:i/>
              <w:sz w:val="36"/>
              <w:szCs w:val="36"/>
            </w:rPr>
            <w:t>Dr</w:t>
          </w:r>
          <w:proofErr w:type="spellEnd"/>
          <w:r w:rsidR="00FC702C" w:rsidRPr="00FC702C">
            <w:rPr>
              <w:rFonts w:asciiTheme="majorHAnsi" w:eastAsiaTheme="majorEastAsia" w:hAnsiTheme="majorHAnsi" w:cstheme="majorBidi"/>
              <w:i/>
              <w:sz w:val="36"/>
              <w:szCs w:val="36"/>
            </w:rPr>
            <w:t xml:space="preserve"> Louise Warburton and Martin Black for COACH.</w:t>
          </w:r>
        </w:p>
        <w:p w14:paraId="0BF6C4C9" w14:textId="77777777" w:rsidR="00537EBD" w:rsidRDefault="00537EBD">
          <w:pPr>
            <w:pStyle w:val="NoSpacing"/>
            <w:rPr>
              <w:rFonts w:asciiTheme="majorHAnsi" w:eastAsiaTheme="majorEastAsia" w:hAnsiTheme="majorHAnsi" w:cstheme="majorBidi"/>
              <w:sz w:val="36"/>
              <w:szCs w:val="36"/>
            </w:rPr>
          </w:pPr>
        </w:p>
        <w:p w14:paraId="38BF6214" w14:textId="60465726" w:rsidR="004A3D34" w:rsidRDefault="004A3D34">
          <w:pPr>
            <w:pStyle w:val="NoSpacing"/>
            <w:rPr>
              <w:rFonts w:asciiTheme="majorHAnsi" w:eastAsiaTheme="majorEastAsia" w:hAnsiTheme="majorHAnsi" w:cstheme="majorBidi"/>
              <w:sz w:val="36"/>
              <w:szCs w:val="36"/>
              <w:u w:val="single"/>
            </w:rPr>
          </w:pPr>
          <w:r w:rsidRPr="004A3D34">
            <w:rPr>
              <w:rFonts w:asciiTheme="majorHAnsi" w:eastAsiaTheme="majorEastAsia" w:hAnsiTheme="majorHAnsi" w:cstheme="majorBidi"/>
              <w:sz w:val="36"/>
              <w:szCs w:val="36"/>
              <w:u w:val="single"/>
            </w:rPr>
            <w:t>Diagnosing Joint Hypermobility</w:t>
          </w:r>
          <w:r>
            <w:rPr>
              <w:rFonts w:asciiTheme="majorHAnsi" w:eastAsiaTheme="majorEastAsia" w:hAnsiTheme="majorHAnsi" w:cstheme="majorBidi"/>
              <w:sz w:val="36"/>
              <w:szCs w:val="36"/>
              <w:u w:val="single"/>
            </w:rPr>
            <w:t xml:space="preserve"> and Ehlers-</w:t>
          </w:r>
          <w:proofErr w:type="spellStart"/>
          <w:r>
            <w:rPr>
              <w:rFonts w:asciiTheme="majorHAnsi" w:eastAsiaTheme="majorEastAsia" w:hAnsiTheme="majorHAnsi" w:cstheme="majorBidi"/>
              <w:sz w:val="36"/>
              <w:szCs w:val="36"/>
              <w:u w:val="single"/>
            </w:rPr>
            <w:t>Danlos</w:t>
          </w:r>
          <w:proofErr w:type="spellEnd"/>
          <w:r>
            <w:rPr>
              <w:rFonts w:asciiTheme="majorHAnsi" w:eastAsiaTheme="majorEastAsia" w:hAnsiTheme="majorHAnsi" w:cstheme="majorBidi"/>
              <w:sz w:val="36"/>
              <w:szCs w:val="36"/>
              <w:u w:val="single"/>
            </w:rPr>
            <w:t xml:space="preserve"> syndrome</w:t>
          </w:r>
        </w:p>
        <w:p w14:paraId="18AF7DB2" w14:textId="77777777" w:rsidR="00A90FC9" w:rsidRDefault="00A90FC9">
          <w:pPr>
            <w:pStyle w:val="NoSpacing"/>
            <w:rPr>
              <w:rFonts w:asciiTheme="majorHAnsi" w:eastAsiaTheme="majorEastAsia" w:hAnsiTheme="majorHAnsi" w:cstheme="majorBidi"/>
              <w:sz w:val="36"/>
              <w:szCs w:val="36"/>
              <w:u w:val="single"/>
            </w:rPr>
          </w:pPr>
        </w:p>
        <w:p w14:paraId="1F75CCD0" w14:textId="604CC2E4" w:rsidR="00A90FC9" w:rsidRPr="00A90FC9" w:rsidRDefault="00A90FC9">
          <w:pPr>
            <w:pStyle w:val="NoSpacing"/>
            <w:rPr>
              <w:rFonts w:asciiTheme="majorHAnsi" w:eastAsiaTheme="majorEastAsia" w:hAnsiTheme="majorHAnsi" w:cstheme="majorBidi"/>
              <w:sz w:val="36"/>
              <w:szCs w:val="36"/>
            </w:rPr>
          </w:pPr>
          <w:r>
            <w:rPr>
              <w:rFonts w:asciiTheme="majorHAnsi" w:eastAsiaTheme="majorEastAsia" w:hAnsiTheme="majorHAnsi" w:cstheme="majorBidi"/>
              <w:sz w:val="36"/>
              <w:szCs w:val="36"/>
            </w:rPr>
            <w:t>TEMS has had many referrals about possible Ehlers-</w:t>
          </w:r>
          <w:proofErr w:type="spellStart"/>
          <w:r>
            <w:rPr>
              <w:rFonts w:asciiTheme="majorHAnsi" w:eastAsiaTheme="majorEastAsia" w:hAnsiTheme="majorHAnsi" w:cstheme="majorBidi"/>
              <w:sz w:val="36"/>
              <w:szCs w:val="36"/>
            </w:rPr>
            <w:t>Danlos</w:t>
          </w:r>
          <w:proofErr w:type="spellEnd"/>
          <w:r>
            <w:rPr>
              <w:rFonts w:asciiTheme="majorHAnsi" w:eastAsiaTheme="majorEastAsia" w:hAnsiTheme="majorHAnsi" w:cstheme="majorBidi"/>
              <w:sz w:val="36"/>
              <w:szCs w:val="36"/>
            </w:rPr>
            <w:t xml:space="preserve"> syndrome in the past few weeks.</w:t>
          </w:r>
          <w:r w:rsidR="00614D6A">
            <w:rPr>
              <w:rFonts w:asciiTheme="majorHAnsi" w:eastAsiaTheme="majorEastAsia" w:hAnsiTheme="majorHAnsi" w:cstheme="majorBidi"/>
              <w:sz w:val="36"/>
              <w:szCs w:val="36"/>
            </w:rPr>
            <w:t xml:space="preserve"> Here I give an update on diagnosis and management.</w:t>
          </w:r>
        </w:p>
        <w:p w14:paraId="058A3FAC" w14:textId="77777777" w:rsidR="004A3D34" w:rsidRDefault="004A3D34">
          <w:pPr>
            <w:pStyle w:val="NoSpacing"/>
            <w:rPr>
              <w:rFonts w:asciiTheme="majorHAnsi" w:eastAsiaTheme="majorEastAsia" w:hAnsiTheme="majorHAnsi" w:cstheme="majorBidi"/>
              <w:sz w:val="36"/>
              <w:szCs w:val="36"/>
            </w:rPr>
          </w:pPr>
        </w:p>
        <w:p w14:paraId="14E80AB2" w14:textId="6F72CB95" w:rsidR="00537EBD" w:rsidRDefault="004A3D34">
          <w:pPr>
            <w:pStyle w:val="NoSpacing"/>
            <w:rPr>
              <w:rFonts w:asciiTheme="majorHAnsi" w:eastAsiaTheme="majorEastAsia" w:hAnsiTheme="majorHAnsi" w:cstheme="majorBidi"/>
              <w:sz w:val="28"/>
              <w:szCs w:val="28"/>
            </w:rPr>
          </w:pPr>
          <w:r>
            <w:rPr>
              <w:rFonts w:asciiTheme="majorHAnsi" w:eastAsiaTheme="majorEastAsia" w:hAnsiTheme="majorHAnsi" w:cstheme="majorBidi"/>
              <w:sz w:val="28"/>
              <w:szCs w:val="28"/>
            </w:rPr>
            <w:t>There is a lot of confusion about the diagnosis of Ehlers-</w:t>
          </w:r>
          <w:proofErr w:type="spellStart"/>
          <w:r>
            <w:rPr>
              <w:rFonts w:asciiTheme="majorHAnsi" w:eastAsiaTheme="majorEastAsia" w:hAnsiTheme="majorHAnsi" w:cstheme="majorBidi"/>
              <w:sz w:val="28"/>
              <w:szCs w:val="28"/>
            </w:rPr>
            <w:t>Danlos</w:t>
          </w:r>
          <w:proofErr w:type="spellEnd"/>
          <w:r>
            <w:rPr>
              <w:rFonts w:asciiTheme="majorHAnsi" w:eastAsiaTheme="majorEastAsia" w:hAnsiTheme="majorHAnsi" w:cstheme="majorBidi"/>
              <w:sz w:val="28"/>
              <w:szCs w:val="28"/>
            </w:rPr>
            <w:t xml:space="preserve"> syndrome. Classical EDS used to be called Benign Joint Hypermobility.</w:t>
          </w:r>
        </w:p>
        <w:p w14:paraId="2E939974" w14:textId="173C451D" w:rsidR="004A3D34" w:rsidRDefault="004A3D34">
          <w:pPr>
            <w:pStyle w:val="NoSpacing"/>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There are several types of EDS; see </w:t>
          </w:r>
          <w:hyperlink r:id="rId10" w:anchor="chart" w:history="1">
            <w:r w:rsidRPr="00A07320">
              <w:rPr>
                <w:rStyle w:val="Hyperlink"/>
                <w:rFonts w:asciiTheme="majorHAnsi" w:eastAsiaTheme="majorEastAsia" w:hAnsiTheme="majorHAnsi" w:cstheme="majorBidi"/>
                <w:sz w:val="28"/>
                <w:szCs w:val="28"/>
              </w:rPr>
              <w:t>https://www.ehlers-danlos.com/eds-types/#chart</w:t>
            </w:r>
          </w:hyperlink>
          <w:r w:rsidR="00614D6A">
            <w:rPr>
              <w:rFonts w:asciiTheme="majorHAnsi" w:eastAsiaTheme="majorEastAsia" w:hAnsiTheme="majorHAnsi" w:cstheme="majorBidi"/>
              <w:sz w:val="28"/>
              <w:szCs w:val="28"/>
            </w:rPr>
            <w:t>. Some have cardiovascular involvement and can have serious sequelae.</w:t>
          </w:r>
        </w:p>
        <w:p w14:paraId="33AE566D" w14:textId="77777777" w:rsidR="004A3D34" w:rsidRDefault="004A3D34">
          <w:pPr>
            <w:pStyle w:val="NoSpacing"/>
            <w:rPr>
              <w:rFonts w:asciiTheme="majorHAnsi" w:eastAsiaTheme="majorEastAsia" w:hAnsiTheme="majorHAnsi" w:cstheme="majorBidi"/>
              <w:sz w:val="28"/>
              <w:szCs w:val="28"/>
            </w:rPr>
          </w:pPr>
        </w:p>
        <w:p w14:paraId="1DEB6C09" w14:textId="034B5F82" w:rsidR="004A3D34" w:rsidRDefault="004A3D34">
          <w:pPr>
            <w:pStyle w:val="NoSpacing"/>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In TEMS we tend to see patients who might have classical EDS. There are several diagnostic criteria for this; </w:t>
          </w:r>
        </w:p>
        <w:p w14:paraId="54029CEF" w14:textId="77777777" w:rsidR="004A3D34" w:rsidRDefault="004A3D34">
          <w:pPr>
            <w:pStyle w:val="NoSpacing"/>
            <w:rPr>
              <w:rFonts w:asciiTheme="majorHAnsi" w:eastAsiaTheme="majorEastAsia" w:hAnsiTheme="majorHAnsi" w:cstheme="majorBidi"/>
              <w:sz w:val="28"/>
              <w:szCs w:val="28"/>
            </w:rPr>
          </w:pPr>
        </w:p>
        <w:p w14:paraId="7D9BBA2A" w14:textId="4C8A3353" w:rsidR="004A3D34" w:rsidRDefault="004A3D34">
          <w:pPr>
            <w:pStyle w:val="NoSpacing"/>
            <w:rPr>
              <w:rFonts w:asciiTheme="majorHAnsi" w:eastAsiaTheme="majorEastAsia" w:hAnsiTheme="majorHAnsi" w:cstheme="majorBidi"/>
              <w:sz w:val="28"/>
              <w:szCs w:val="28"/>
            </w:rPr>
          </w:pPr>
          <w:r>
            <w:rPr>
              <w:rFonts w:asciiTheme="majorHAnsi" w:eastAsiaTheme="majorEastAsia" w:hAnsiTheme="majorHAnsi" w:cstheme="majorBidi"/>
              <w:sz w:val="28"/>
              <w:szCs w:val="28"/>
            </w:rPr>
            <w:t>Major criteria</w:t>
          </w:r>
        </w:p>
        <w:p w14:paraId="6CDFDBC7" w14:textId="77777777" w:rsidR="004A3D34" w:rsidRDefault="004A3D34">
          <w:pPr>
            <w:pStyle w:val="NoSpacing"/>
          </w:pPr>
        </w:p>
        <w:p w14:paraId="6B52E87C" w14:textId="77777777" w:rsidR="004A3D34" w:rsidRPr="004A3D34" w:rsidRDefault="004A3D34" w:rsidP="004A3D34">
          <w:pPr>
            <w:numPr>
              <w:ilvl w:val="0"/>
              <w:numId w:val="1"/>
            </w:numPr>
            <w:shd w:val="clear" w:color="auto" w:fill="FFFFFF"/>
            <w:spacing w:before="100" w:beforeAutospacing="1" w:after="100" w:afterAutospacing="1" w:line="240" w:lineRule="auto"/>
            <w:ind w:left="0"/>
            <w:rPr>
              <w:rFonts w:eastAsia="Times New Roman"/>
              <w:lang w:val="en-US"/>
            </w:rPr>
          </w:pPr>
          <w:r w:rsidRPr="004A3D34">
            <w:rPr>
              <w:rFonts w:eastAsia="Times New Roman"/>
              <w:lang w:val="en-US"/>
            </w:rPr>
            <w:t xml:space="preserve">Skin </w:t>
          </w:r>
          <w:proofErr w:type="spellStart"/>
          <w:r w:rsidRPr="004A3D34">
            <w:rPr>
              <w:rFonts w:eastAsia="Times New Roman"/>
              <w:lang w:val="en-US"/>
            </w:rPr>
            <w:t>hyperextensibility</w:t>
          </w:r>
          <w:proofErr w:type="spellEnd"/>
          <w:r w:rsidRPr="004A3D34">
            <w:rPr>
              <w:rFonts w:eastAsia="Times New Roman"/>
              <w:lang w:val="en-US"/>
            </w:rPr>
            <w:t xml:space="preserve"> and atrophic scarring; and</w:t>
          </w:r>
        </w:p>
        <w:p w14:paraId="66ADC592" w14:textId="77777777" w:rsidR="004A3D34" w:rsidRPr="004A3D34" w:rsidRDefault="004A3D34" w:rsidP="004A3D34">
          <w:pPr>
            <w:numPr>
              <w:ilvl w:val="0"/>
              <w:numId w:val="1"/>
            </w:numPr>
            <w:shd w:val="clear" w:color="auto" w:fill="FFFFFF"/>
            <w:spacing w:before="100" w:beforeAutospacing="1" w:after="100" w:afterAutospacing="1" w:line="240" w:lineRule="auto"/>
            <w:ind w:left="0"/>
            <w:rPr>
              <w:rFonts w:eastAsia="Times New Roman"/>
              <w:lang w:val="en-US"/>
            </w:rPr>
          </w:pPr>
          <w:r w:rsidRPr="004A3D34">
            <w:rPr>
              <w:rFonts w:eastAsia="Times New Roman"/>
              <w:lang w:val="en-US"/>
            </w:rPr>
            <w:t>Generalized joint hypermobility (GJH).</w:t>
          </w:r>
        </w:p>
        <w:p w14:paraId="76D0C43E" w14:textId="674780FD" w:rsidR="00A90FC9" w:rsidRDefault="004A3D34">
          <w:pPr>
            <w:rPr>
              <w:rFonts w:asciiTheme="majorHAnsi" w:hAnsiTheme="majorHAnsi" w:cstheme="majorHAnsi"/>
            </w:rPr>
          </w:pPr>
          <w:r>
            <w:rPr>
              <w:rFonts w:asciiTheme="majorHAnsi" w:hAnsiTheme="majorHAnsi" w:cstheme="majorHAnsi"/>
            </w:rPr>
            <w:t>Joint</w:t>
          </w:r>
          <w:r w:rsidR="00241E46">
            <w:rPr>
              <w:rFonts w:asciiTheme="majorHAnsi" w:hAnsiTheme="majorHAnsi" w:cstheme="majorHAnsi"/>
            </w:rPr>
            <w:t xml:space="preserve"> hypermobility is diagnosed on </w:t>
          </w:r>
          <w:bookmarkStart w:id="0" w:name="_GoBack"/>
          <w:bookmarkEnd w:id="0"/>
          <w:r>
            <w:rPr>
              <w:rFonts w:asciiTheme="majorHAnsi" w:hAnsiTheme="majorHAnsi" w:cstheme="majorHAnsi"/>
            </w:rPr>
            <w:t xml:space="preserve">the </w:t>
          </w:r>
          <w:proofErr w:type="spellStart"/>
          <w:r>
            <w:rPr>
              <w:rFonts w:asciiTheme="majorHAnsi" w:hAnsiTheme="majorHAnsi" w:cstheme="majorHAnsi"/>
            </w:rPr>
            <w:t>Beighton</w:t>
          </w:r>
          <w:proofErr w:type="spellEnd"/>
          <w:r>
            <w:rPr>
              <w:rFonts w:asciiTheme="majorHAnsi" w:hAnsiTheme="majorHAnsi" w:cstheme="majorHAnsi"/>
            </w:rPr>
            <w:t xml:space="preserve"> Score.  A patient is considered hypermobile if they score more than 5/9</w:t>
          </w:r>
        </w:p>
        <w:p w14:paraId="45B1FDA0" w14:textId="77777777" w:rsidR="004A3D34" w:rsidRDefault="004A3D34">
          <w:pPr>
            <w:rPr>
              <w:rFonts w:asciiTheme="majorHAnsi" w:hAnsiTheme="majorHAnsi" w:cstheme="majorHAnsi"/>
            </w:rPr>
          </w:pPr>
        </w:p>
        <w:p w14:paraId="21B3D678" w14:textId="18B04598" w:rsidR="00A90FC9" w:rsidRDefault="00A90FC9">
          <w:pPr>
            <w:rPr>
              <w:rFonts w:asciiTheme="majorHAnsi" w:hAnsiTheme="majorHAnsi" w:cstheme="majorHAnsi"/>
            </w:rPr>
          </w:pPr>
          <w:r>
            <w:rPr>
              <w:rFonts w:asciiTheme="majorHAnsi" w:hAnsiTheme="majorHAnsi" w:cstheme="majorHAnsi"/>
            </w:rPr>
            <w:t xml:space="preserve">Diagnosis requires at least </w:t>
          </w:r>
          <w:r w:rsidRPr="00614D6A">
            <w:rPr>
              <w:rFonts w:asciiTheme="majorHAnsi" w:hAnsiTheme="majorHAnsi" w:cstheme="majorHAnsi"/>
              <w:b/>
            </w:rPr>
            <w:t>two major criteria or three minor criteria.</w:t>
          </w:r>
        </w:p>
        <w:p w14:paraId="4DC2136D" w14:textId="77777777" w:rsidR="004A3D34" w:rsidRDefault="004A3D34">
          <w:pPr>
            <w:rPr>
              <w:rFonts w:asciiTheme="majorHAnsi" w:hAnsiTheme="majorHAnsi" w:cstheme="majorHAnsi"/>
            </w:rPr>
          </w:pPr>
        </w:p>
        <w:p w14:paraId="31F6C67E" w14:textId="1D8A747C" w:rsidR="004A3D34" w:rsidRPr="00614D6A" w:rsidRDefault="00614D6A">
          <w:pPr>
            <w:rPr>
              <w:rFonts w:asciiTheme="majorHAnsi" w:hAnsiTheme="majorHAnsi" w:cstheme="majorHAnsi"/>
              <w:u w:val="single"/>
            </w:rPr>
          </w:pPr>
          <w:r w:rsidRPr="00614D6A">
            <w:rPr>
              <w:rFonts w:asciiTheme="majorHAnsi" w:hAnsiTheme="majorHAnsi" w:cstheme="majorHAnsi"/>
              <w:u w:val="single"/>
            </w:rPr>
            <w:lastRenderedPageBreak/>
            <w:t>BEIGHTON SCORE</w:t>
          </w:r>
        </w:p>
        <w:p w14:paraId="6F350A05" w14:textId="60CE5D85" w:rsidR="00903401" w:rsidRDefault="00241E46"/>
      </w:sdtContent>
    </w:sdt>
    <w:p w14:paraId="5A72A6BE" w14:textId="77777777" w:rsidR="00614D6A" w:rsidRDefault="004A3D34">
      <w:r>
        <w:rPr>
          <w:noProof/>
          <w:color w:val="FFFFFF"/>
          <w:sz w:val="20"/>
          <w:szCs w:val="20"/>
        </w:rPr>
        <w:drawing>
          <wp:inline distT="0" distB="0" distL="0" distR="0" wp14:anchorId="20BA4320" wp14:editId="24ADF4C0">
            <wp:extent cx="4448175" cy="4886325"/>
            <wp:effectExtent l="0" t="0" r="9525" b="9525"/>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8175" cy="4886325"/>
                    </a:xfrm>
                    <a:prstGeom prst="rect">
                      <a:avLst/>
                    </a:prstGeom>
                    <a:noFill/>
                    <a:ln>
                      <a:noFill/>
                    </a:ln>
                  </pic:spPr>
                </pic:pic>
              </a:graphicData>
            </a:graphic>
          </wp:inline>
        </w:drawing>
      </w:r>
    </w:p>
    <w:p w14:paraId="695CA5FC" w14:textId="7B739E3D" w:rsidR="00A90FC9" w:rsidRDefault="00A90FC9">
      <w:r>
        <w:t>Minor Criteria; have less diagnostic specificity</w:t>
      </w:r>
    </w:p>
    <w:p w14:paraId="4E16BC08" w14:textId="77777777" w:rsidR="00A90FC9" w:rsidRPr="00A90FC9" w:rsidRDefault="00A90FC9">
      <w:pPr>
        <w:rPr>
          <w:sz w:val="24"/>
          <w:szCs w:val="24"/>
        </w:rPr>
      </w:pPr>
    </w:p>
    <w:p w14:paraId="2480CD95"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1) Smooth velvety skin</w:t>
      </w:r>
    </w:p>
    <w:p w14:paraId="7C5B80AD"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 xml:space="preserve">(2) </w:t>
      </w:r>
      <w:proofErr w:type="spellStart"/>
      <w:r w:rsidRPr="00A90FC9">
        <w:rPr>
          <w:rFonts w:ascii="AdvTTce2aec1c" w:hAnsi="AdvTTce2aec1c" w:cs="AdvTTce2aec1c"/>
          <w:sz w:val="24"/>
          <w:szCs w:val="24"/>
        </w:rPr>
        <w:t>Molluscoid</w:t>
      </w:r>
      <w:proofErr w:type="spellEnd"/>
      <w:r w:rsidRPr="00A90FC9">
        <w:rPr>
          <w:rFonts w:ascii="AdvTTce2aec1c" w:hAnsi="AdvTTce2aec1c" w:cs="AdvTTce2aec1c"/>
          <w:sz w:val="24"/>
          <w:szCs w:val="24"/>
        </w:rPr>
        <w:t xml:space="preserve"> </w:t>
      </w:r>
      <w:proofErr w:type="spellStart"/>
      <w:r w:rsidRPr="00A90FC9">
        <w:rPr>
          <w:rFonts w:ascii="AdvTTce2aec1c" w:hAnsi="AdvTTce2aec1c" w:cs="AdvTTce2aec1c"/>
          <w:sz w:val="24"/>
          <w:szCs w:val="24"/>
        </w:rPr>
        <w:t>pseudotumours</w:t>
      </w:r>
      <w:proofErr w:type="spellEnd"/>
    </w:p>
    <w:p w14:paraId="5D646BDA"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(3) Subcutaneous spheroids/spherules</w:t>
      </w:r>
    </w:p>
    <w:p w14:paraId="708A5F89"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(4) Complications of joint hypermobility</w:t>
      </w:r>
    </w:p>
    <w:p w14:paraId="078006B4"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(e.g., sprains, dislocations/subluxations,</w:t>
      </w:r>
    </w:p>
    <w:p w14:paraId="558DEB80"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proofErr w:type="gramStart"/>
      <w:r w:rsidRPr="00A90FC9">
        <w:rPr>
          <w:rFonts w:ascii="AdvTTce2aec1c" w:hAnsi="AdvTTce2aec1c" w:cs="AdvTTce2aec1c"/>
          <w:sz w:val="24"/>
          <w:szCs w:val="24"/>
        </w:rPr>
        <w:t>pes</w:t>
      </w:r>
      <w:proofErr w:type="gramEnd"/>
      <w:r w:rsidRPr="00A90FC9">
        <w:rPr>
          <w:rFonts w:ascii="AdvTTce2aec1c" w:hAnsi="AdvTTce2aec1c" w:cs="AdvTTce2aec1c"/>
          <w:sz w:val="24"/>
          <w:szCs w:val="24"/>
        </w:rPr>
        <w:t xml:space="preserve"> planus)</w:t>
      </w:r>
    </w:p>
    <w:p w14:paraId="40906B9C"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 xml:space="preserve">(5) Muscle </w:t>
      </w:r>
      <w:proofErr w:type="spellStart"/>
      <w:r w:rsidRPr="00A90FC9">
        <w:rPr>
          <w:rFonts w:ascii="AdvTTce2aec1c" w:hAnsi="AdvTTce2aec1c" w:cs="AdvTTce2aec1c"/>
          <w:sz w:val="24"/>
          <w:szCs w:val="24"/>
        </w:rPr>
        <w:t>hypotonia</w:t>
      </w:r>
      <w:proofErr w:type="spellEnd"/>
      <w:r w:rsidRPr="00A90FC9">
        <w:rPr>
          <w:rFonts w:ascii="AdvTTce2aec1c" w:hAnsi="AdvTTce2aec1c" w:cs="AdvTTce2aec1c"/>
          <w:sz w:val="24"/>
          <w:szCs w:val="24"/>
        </w:rPr>
        <w:t>, delayed gross motor</w:t>
      </w:r>
    </w:p>
    <w:p w14:paraId="7F7D1EE7"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proofErr w:type="gramStart"/>
      <w:r w:rsidRPr="00A90FC9">
        <w:rPr>
          <w:rFonts w:ascii="AdvTTce2aec1c" w:hAnsi="AdvTTce2aec1c" w:cs="AdvTTce2aec1c"/>
          <w:sz w:val="24"/>
          <w:szCs w:val="24"/>
        </w:rPr>
        <w:t>development</w:t>
      </w:r>
      <w:proofErr w:type="gramEnd"/>
    </w:p>
    <w:p w14:paraId="7E177EF2"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(6) Easy bruising</w:t>
      </w:r>
    </w:p>
    <w:p w14:paraId="666E13DB"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(7) Manifestations of tissue extensibility</w:t>
      </w:r>
    </w:p>
    <w:p w14:paraId="27FCA1D6"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proofErr w:type="gramStart"/>
      <w:r w:rsidRPr="00A90FC9">
        <w:rPr>
          <w:rFonts w:ascii="AdvTTce2aec1c" w:hAnsi="AdvTTce2aec1c" w:cs="AdvTTce2aec1c"/>
          <w:sz w:val="24"/>
          <w:szCs w:val="24"/>
        </w:rPr>
        <w:t>and</w:t>
      </w:r>
      <w:proofErr w:type="gramEnd"/>
      <w:r w:rsidRPr="00A90FC9">
        <w:rPr>
          <w:rFonts w:ascii="AdvTTce2aec1c" w:hAnsi="AdvTTce2aec1c" w:cs="AdvTTce2aec1c"/>
          <w:sz w:val="24"/>
          <w:szCs w:val="24"/>
        </w:rPr>
        <w:t xml:space="preserve"> fragility (e.g., hiatus hernia, anal</w:t>
      </w:r>
    </w:p>
    <w:p w14:paraId="21D94A16"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proofErr w:type="gramStart"/>
      <w:r w:rsidRPr="00A90FC9">
        <w:rPr>
          <w:rFonts w:ascii="AdvTTce2aec1c" w:hAnsi="AdvTTce2aec1c" w:cs="AdvTTce2aec1c"/>
          <w:sz w:val="24"/>
          <w:szCs w:val="24"/>
        </w:rPr>
        <w:t>prolapse</w:t>
      </w:r>
      <w:proofErr w:type="gramEnd"/>
      <w:r w:rsidRPr="00A90FC9">
        <w:rPr>
          <w:rFonts w:ascii="AdvTTce2aec1c" w:hAnsi="AdvTTce2aec1c" w:cs="AdvTTce2aec1c"/>
          <w:sz w:val="24"/>
          <w:szCs w:val="24"/>
        </w:rPr>
        <w:t xml:space="preserve"> in childhood, cervical</w:t>
      </w:r>
    </w:p>
    <w:p w14:paraId="27FC0270"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proofErr w:type="gramStart"/>
      <w:r w:rsidRPr="00A90FC9">
        <w:rPr>
          <w:rFonts w:ascii="AdvTTce2aec1c" w:hAnsi="AdvTTce2aec1c" w:cs="AdvTTce2aec1c"/>
          <w:sz w:val="24"/>
          <w:szCs w:val="24"/>
        </w:rPr>
        <w:t>insufficiency</w:t>
      </w:r>
      <w:proofErr w:type="gramEnd"/>
      <w:r w:rsidRPr="00A90FC9">
        <w:rPr>
          <w:rFonts w:ascii="AdvTTce2aec1c" w:hAnsi="AdvTTce2aec1c" w:cs="AdvTTce2aec1c"/>
          <w:sz w:val="24"/>
          <w:szCs w:val="24"/>
        </w:rPr>
        <w:t>)</w:t>
      </w:r>
    </w:p>
    <w:p w14:paraId="09F6515E"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r w:rsidRPr="00A90FC9">
        <w:rPr>
          <w:rFonts w:ascii="AdvTTce2aec1c" w:hAnsi="AdvTTce2aec1c" w:cs="AdvTTce2aec1c"/>
          <w:sz w:val="24"/>
          <w:szCs w:val="24"/>
        </w:rPr>
        <w:t>(8) Surgical complications (postoperative</w:t>
      </w:r>
    </w:p>
    <w:p w14:paraId="499C2BFC" w14:textId="77777777" w:rsidR="00A90FC9" w:rsidRPr="00A90FC9" w:rsidRDefault="00A90FC9" w:rsidP="00A90FC9">
      <w:pPr>
        <w:autoSpaceDE w:val="0"/>
        <w:autoSpaceDN w:val="0"/>
        <w:adjustRightInd w:val="0"/>
        <w:spacing w:line="240" w:lineRule="auto"/>
        <w:rPr>
          <w:rFonts w:ascii="AdvTTce2aec1c" w:hAnsi="AdvTTce2aec1c" w:cs="AdvTTce2aec1c"/>
          <w:sz w:val="24"/>
          <w:szCs w:val="24"/>
        </w:rPr>
      </w:pPr>
      <w:proofErr w:type="gramStart"/>
      <w:r w:rsidRPr="00A90FC9">
        <w:rPr>
          <w:rFonts w:ascii="AdvTTce2aec1c" w:hAnsi="AdvTTce2aec1c" w:cs="AdvTTce2aec1c"/>
          <w:sz w:val="24"/>
          <w:szCs w:val="24"/>
        </w:rPr>
        <w:t>hernias</w:t>
      </w:r>
      <w:proofErr w:type="gramEnd"/>
      <w:r w:rsidRPr="00A90FC9">
        <w:rPr>
          <w:rFonts w:ascii="AdvTTce2aec1c" w:hAnsi="AdvTTce2aec1c" w:cs="AdvTTce2aec1c"/>
          <w:sz w:val="24"/>
          <w:szCs w:val="24"/>
        </w:rPr>
        <w:t>)</w:t>
      </w:r>
    </w:p>
    <w:p w14:paraId="3D6AA685" w14:textId="77777777" w:rsidR="00A90FC9" w:rsidRDefault="00A90FC9" w:rsidP="00A90FC9">
      <w:pPr>
        <w:rPr>
          <w:rFonts w:ascii="AdvTTce2aec1c" w:hAnsi="AdvTTce2aec1c" w:cs="AdvTTce2aec1c"/>
          <w:sz w:val="24"/>
          <w:szCs w:val="24"/>
        </w:rPr>
      </w:pPr>
      <w:r w:rsidRPr="00A90FC9">
        <w:rPr>
          <w:rFonts w:ascii="AdvTTce2aec1c" w:hAnsi="AdvTTce2aec1c" w:cs="AdvTTce2aec1c"/>
          <w:sz w:val="24"/>
          <w:szCs w:val="24"/>
        </w:rPr>
        <w:t>(9) Positive family history</w:t>
      </w:r>
    </w:p>
    <w:p w14:paraId="21E4BA7E" w14:textId="77777777" w:rsidR="00A90FC9" w:rsidRDefault="00A90FC9" w:rsidP="00A90FC9">
      <w:pPr>
        <w:rPr>
          <w:rFonts w:ascii="AdvTTce2aec1c" w:hAnsi="AdvTTce2aec1c" w:cs="AdvTTce2aec1c"/>
          <w:sz w:val="24"/>
          <w:szCs w:val="24"/>
        </w:rPr>
      </w:pPr>
    </w:p>
    <w:p w14:paraId="5D29A18F" w14:textId="0F5EB7EB" w:rsidR="00A90FC9" w:rsidRPr="00A90FC9" w:rsidRDefault="00A90FC9" w:rsidP="00A90FC9">
      <w:pPr>
        <w:pStyle w:val="NormalWeb"/>
        <w:shd w:val="clear" w:color="auto" w:fill="FFFFFF"/>
        <w:rPr>
          <w:rFonts w:ascii="Normal400" w:hAnsi="Normal400" w:cs="Arial"/>
          <w:sz w:val="22"/>
          <w:szCs w:val="22"/>
          <w:u w:val="single"/>
          <w:lang w:val="en-US"/>
        </w:rPr>
      </w:pPr>
      <w:r w:rsidRPr="00A90FC9">
        <w:rPr>
          <w:rFonts w:ascii="Normal400" w:hAnsi="Normal400" w:cs="Arial"/>
          <w:sz w:val="22"/>
          <w:szCs w:val="22"/>
          <w:u w:val="single"/>
          <w:lang w:val="en-US"/>
        </w:rPr>
        <w:lastRenderedPageBreak/>
        <w:t>NOTES</w:t>
      </w:r>
    </w:p>
    <w:p w14:paraId="1BC9206B" w14:textId="77777777" w:rsidR="00A90FC9" w:rsidRDefault="00A90FC9" w:rsidP="00A90FC9">
      <w:pPr>
        <w:pStyle w:val="NormalWeb"/>
        <w:shd w:val="clear" w:color="auto" w:fill="FFFFFF"/>
        <w:rPr>
          <w:rFonts w:ascii="Normal400" w:hAnsi="Normal400" w:cs="Arial"/>
          <w:sz w:val="22"/>
          <w:szCs w:val="22"/>
          <w:lang w:val="en-US"/>
        </w:rPr>
      </w:pPr>
      <w:r>
        <w:rPr>
          <w:rFonts w:ascii="Normal400" w:hAnsi="Normal400" w:cs="Arial"/>
          <w:sz w:val="22"/>
          <w:szCs w:val="22"/>
          <w:lang w:val="en-US"/>
        </w:rPr>
        <w:t xml:space="preserve">Skin is </w:t>
      </w:r>
      <w:proofErr w:type="spellStart"/>
      <w:r>
        <w:rPr>
          <w:rFonts w:ascii="Normal400" w:hAnsi="Normal400" w:cs="Arial"/>
          <w:sz w:val="22"/>
          <w:szCs w:val="22"/>
          <w:lang w:val="en-US"/>
        </w:rPr>
        <w:t>hyperextensible</w:t>
      </w:r>
      <w:proofErr w:type="spellEnd"/>
      <w:r>
        <w:rPr>
          <w:rFonts w:ascii="Normal400" w:hAnsi="Normal400" w:cs="Arial"/>
          <w:sz w:val="22"/>
          <w:szCs w:val="22"/>
          <w:lang w:val="en-US"/>
        </w:rPr>
        <w:t xml:space="preserve"> if it can be stretched over a standardized cut off in the following areas: 1.5 cm for the distal part of the forearms and the dorsum of the hands; 3 cm for neck, elbow and knees; 1 cm on the volar surface of the hand (palm).</w:t>
      </w:r>
    </w:p>
    <w:p w14:paraId="0DED6258" w14:textId="77777777" w:rsidR="00A90FC9" w:rsidRDefault="00A90FC9" w:rsidP="00A90FC9">
      <w:pPr>
        <w:pStyle w:val="NormalWeb"/>
        <w:shd w:val="clear" w:color="auto" w:fill="FFFFFF"/>
        <w:rPr>
          <w:rFonts w:ascii="Normal400" w:hAnsi="Normal400" w:cs="Arial"/>
          <w:sz w:val="22"/>
          <w:szCs w:val="22"/>
          <w:lang w:val="en-US"/>
        </w:rPr>
      </w:pPr>
      <w:r>
        <w:rPr>
          <w:rFonts w:ascii="Normal400" w:hAnsi="Normal400" w:cs="Arial"/>
          <w:sz w:val="22"/>
          <w:szCs w:val="22"/>
          <w:lang w:val="en-US"/>
        </w:rPr>
        <w:t xml:space="preserve">Abnormal scarring can range in severity. Most with </w:t>
      </w:r>
      <w:proofErr w:type="spellStart"/>
      <w:r>
        <w:rPr>
          <w:rFonts w:ascii="Normal400" w:hAnsi="Normal400" w:cs="Arial"/>
          <w:sz w:val="22"/>
          <w:szCs w:val="22"/>
          <w:lang w:val="en-US"/>
        </w:rPr>
        <w:t>cEDS</w:t>
      </w:r>
      <w:proofErr w:type="spellEnd"/>
      <w:r>
        <w:rPr>
          <w:rFonts w:ascii="Normal400" w:hAnsi="Normal400" w:cs="Arial"/>
          <w:sz w:val="22"/>
          <w:szCs w:val="22"/>
          <w:lang w:val="en-US"/>
        </w:rPr>
        <w:t xml:space="preserve"> have extensive atrophic scars at a number of sites. A minority are more mildly affected. The relevance of surgical scars should be considered with caution in classical EDS, they can appear normal in patients with classical EDS if well managed. Atrophic surgical scars can be found in the general population due to mechanical factors and site of the incision.</w:t>
      </w:r>
    </w:p>
    <w:p w14:paraId="66E289A8" w14:textId="77777777" w:rsidR="00A90FC9" w:rsidRDefault="00A90FC9" w:rsidP="00A90FC9">
      <w:pPr>
        <w:pStyle w:val="NormalWeb"/>
        <w:shd w:val="clear" w:color="auto" w:fill="FFFFFF"/>
        <w:rPr>
          <w:rFonts w:ascii="Normal400" w:hAnsi="Normal400" w:cs="Arial"/>
          <w:sz w:val="22"/>
          <w:szCs w:val="22"/>
          <w:lang w:val="en-US"/>
        </w:rPr>
      </w:pPr>
      <w:r>
        <w:rPr>
          <w:rFonts w:ascii="Normal400" w:hAnsi="Normal400" w:cs="Arial"/>
          <w:sz w:val="22"/>
          <w:szCs w:val="22"/>
          <w:lang w:val="en-US"/>
        </w:rPr>
        <w:t xml:space="preserve">Joint hypermobility is evaluated according to the </w:t>
      </w:r>
      <w:proofErr w:type="spellStart"/>
      <w:r>
        <w:rPr>
          <w:rFonts w:ascii="Normal400" w:hAnsi="Normal400" w:cs="Arial"/>
          <w:sz w:val="22"/>
          <w:szCs w:val="22"/>
          <w:lang w:val="en-US"/>
        </w:rPr>
        <w:t>Beighton</w:t>
      </w:r>
      <w:proofErr w:type="spellEnd"/>
      <w:r>
        <w:rPr>
          <w:rFonts w:ascii="Normal400" w:hAnsi="Normal400" w:cs="Arial"/>
          <w:sz w:val="22"/>
          <w:szCs w:val="22"/>
          <w:lang w:val="en-US"/>
        </w:rPr>
        <w:t xml:space="preserve"> score; a </w:t>
      </w:r>
      <w:proofErr w:type="spellStart"/>
      <w:r>
        <w:rPr>
          <w:rFonts w:ascii="Normal400" w:hAnsi="Normal400" w:cs="Arial"/>
          <w:sz w:val="22"/>
          <w:szCs w:val="22"/>
          <w:lang w:val="en-US"/>
        </w:rPr>
        <w:t>Beighton</w:t>
      </w:r>
      <w:proofErr w:type="spellEnd"/>
      <w:r>
        <w:rPr>
          <w:rFonts w:ascii="Normal400" w:hAnsi="Normal400" w:cs="Arial"/>
          <w:sz w:val="22"/>
          <w:szCs w:val="22"/>
          <w:lang w:val="en-US"/>
        </w:rPr>
        <w:t xml:space="preserve"> score of &gt;5 is considered positive for the presence of generalized joint hypermobility. Since joint hypermobility decreases with age, patients with a </w:t>
      </w:r>
      <w:proofErr w:type="spellStart"/>
      <w:r>
        <w:rPr>
          <w:rFonts w:ascii="Normal400" w:hAnsi="Normal400" w:cs="Arial"/>
          <w:sz w:val="22"/>
          <w:szCs w:val="22"/>
          <w:lang w:val="en-US"/>
        </w:rPr>
        <w:t>Beighton</w:t>
      </w:r>
      <w:proofErr w:type="spellEnd"/>
      <w:r>
        <w:rPr>
          <w:rFonts w:ascii="Normal400" w:hAnsi="Normal400" w:cs="Arial"/>
          <w:sz w:val="22"/>
          <w:szCs w:val="22"/>
          <w:lang w:val="en-US"/>
        </w:rPr>
        <w:t xml:space="preserve"> score &lt;5/9 may be considered positive based on their historical observations.</w:t>
      </w:r>
    </w:p>
    <w:p w14:paraId="3FC2694B" w14:textId="435C3771" w:rsidR="00A90FC9" w:rsidRPr="00A90FC9" w:rsidRDefault="00A90FC9" w:rsidP="00A90FC9">
      <w:pPr>
        <w:pStyle w:val="NormalWeb"/>
        <w:shd w:val="clear" w:color="auto" w:fill="FFFFFF"/>
        <w:rPr>
          <w:rFonts w:ascii="Normal400" w:hAnsi="Normal400" w:cs="Arial"/>
          <w:i/>
          <w:sz w:val="22"/>
          <w:szCs w:val="22"/>
          <w:lang w:val="en-US"/>
        </w:rPr>
      </w:pPr>
      <w:r w:rsidRPr="00A90FC9">
        <w:rPr>
          <w:rFonts w:ascii="Normal400" w:hAnsi="Normal400" w:cs="Arial"/>
          <w:i/>
          <w:sz w:val="22"/>
          <w:szCs w:val="22"/>
          <w:lang w:val="en-US"/>
        </w:rPr>
        <w:t xml:space="preserve">A final diagnosis requires confirmation by molecular testing. More than 90% of those with </w:t>
      </w:r>
      <w:proofErr w:type="spellStart"/>
      <w:r w:rsidRPr="00A90FC9">
        <w:rPr>
          <w:rFonts w:ascii="Normal400" w:hAnsi="Normal400" w:cs="Arial"/>
          <w:i/>
          <w:sz w:val="22"/>
          <w:szCs w:val="22"/>
          <w:lang w:val="en-US"/>
        </w:rPr>
        <w:t>cEDS</w:t>
      </w:r>
      <w:proofErr w:type="spellEnd"/>
      <w:r w:rsidRPr="00A90FC9">
        <w:rPr>
          <w:rFonts w:ascii="Normal400" w:hAnsi="Normal400" w:cs="Arial"/>
          <w:i/>
          <w:sz w:val="22"/>
          <w:szCs w:val="22"/>
          <w:lang w:val="en-US"/>
        </w:rPr>
        <w:t xml:space="preserve"> have a heterozygous mutation in one of the genes encoding type V collagen (COL5A1 and COL5A2). Rarely, specific mutations in the genes encoding type I collagen can be associated with the characteristics of </w:t>
      </w:r>
      <w:proofErr w:type="spellStart"/>
      <w:r w:rsidRPr="00A90FC9">
        <w:rPr>
          <w:rFonts w:ascii="Normal400" w:hAnsi="Normal400" w:cs="Arial"/>
          <w:i/>
          <w:sz w:val="22"/>
          <w:szCs w:val="22"/>
          <w:lang w:val="en-US"/>
        </w:rPr>
        <w:t>cEDS</w:t>
      </w:r>
      <w:proofErr w:type="spellEnd"/>
      <w:r w:rsidRPr="00A90FC9">
        <w:rPr>
          <w:rFonts w:ascii="Normal400" w:hAnsi="Normal400" w:cs="Arial"/>
          <w:i/>
          <w:sz w:val="22"/>
          <w:szCs w:val="22"/>
          <w:lang w:val="en-US"/>
        </w:rPr>
        <w:t>. Classical EDS is inherited in the autosomal dominant pattern.</w:t>
      </w:r>
    </w:p>
    <w:p w14:paraId="5ED32EAA" w14:textId="77777777" w:rsidR="00A90FC9" w:rsidRDefault="00A90FC9" w:rsidP="00A90FC9">
      <w:pPr>
        <w:rPr>
          <w:rFonts w:ascii="AdvTTce2aec1c" w:hAnsi="AdvTTce2aec1c" w:cs="AdvTTce2aec1c"/>
          <w:sz w:val="24"/>
          <w:szCs w:val="24"/>
        </w:rPr>
      </w:pPr>
    </w:p>
    <w:p w14:paraId="66B2271E" w14:textId="08D50A8A" w:rsidR="00A90FC9" w:rsidRPr="00A90FC9" w:rsidRDefault="00A90FC9" w:rsidP="00A90FC9">
      <w:pPr>
        <w:rPr>
          <w:rFonts w:ascii="AdvTTce2aec1c" w:hAnsi="AdvTTce2aec1c" w:cs="AdvTTce2aec1c"/>
          <w:b/>
          <w:sz w:val="24"/>
          <w:szCs w:val="24"/>
        </w:rPr>
      </w:pPr>
      <w:r w:rsidRPr="00A90FC9">
        <w:rPr>
          <w:rFonts w:ascii="AdvTTce2aec1c" w:hAnsi="AdvTTce2aec1c" w:cs="AdvTTce2aec1c"/>
          <w:b/>
          <w:sz w:val="24"/>
          <w:szCs w:val="24"/>
        </w:rPr>
        <w:t>Genetic testing for EDS is currently not supported by Telford and Wrekin CCG, nor the NHS in general.</w:t>
      </w:r>
    </w:p>
    <w:p w14:paraId="132B8D36" w14:textId="77777777" w:rsidR="00A90FC9" w:rsidRDefault="00A90FC9" w:rsidP="00A90FC9">
      <w:pPr>
        <w:rPr>
          <w:rFonts w:ascii="AdvTTce2aec1c" w:hAnsi="AdvTTce2aec1c" w:cs="AdvTTce2aec1c"/>
          <w:sz w:val="24"/>
          <w:szCs w:val="24"/>
        </w:rPr>
      </w:pPr>
    </w:p>
    <w:p w14:paraId="70021344" w14:textId="3B745422" w:rsidR="00A90FC9" w:rsidRDefault="00A90FC9" w:rsidP="00A90FC9">
      <w:pPr>
        <w:rPr>
          <w:rFonts w:ascii="AdvTTce2aec1c" w:hAnsi="AdvTTce2aec1c" w:cs="AdvTTce2aec1c"/>
          <w:sz w:val="24"/>
          <w:szCs w:val="24"/>
        </w:rPr>
      </w:pPr>
      <w:r>
        <w:rPr>
          <w:rFonts w:ascii="AdvTTce2aec1c" w:hAnsi="AdvTTce2aec1c" w:cs="AdvTTce2aec1c"/>
          <w:sz w:val="24"/>
          <w:szCs w:val="24"/>
        </w:rPr>
        <w:t>Management of hypermobility and EDS is around improving muscle control to prevent joint subluxations and dislocations.</w:t>
      </w:r>
    </w:p>
    <w:p w14:paraId="55079CAE" w14:textId="77777777" w:rsidR="00A90FC9" w:rsidRDefault="00A90FC9" w:rsidP="00A90FC9">
      <w:pPr>
        <w:rPr>
          <w:rFonts w:ascii="AdvTTce2aec1c" w:hAnsi="AdvTTce2aec1c" w:cs="AdvTTce2aec1c"/>
          <w:sz w:val="24"/>
          <w:szCs w:val="24"/>
        </w:rPr>
      </w:pPr>
    </w:p>
    <w:p w14:paraId="16830570" w14:textId="75C5CC85" w:rsidR="00A90FC9" w:rsidRDefault="00A90FC9" w:rsidP="00A90FC9">
      <w:pPr>
        <w:rPr>
          <w:rFonts w:ascii="AdvTTce2aec1c" w:hAnsi="AdvTTce2aec1c" w:cs="AdvTTce2aec1c"/>
          <w:sz w:val="24"/>
          <w:szCs w:val="24"/>
        </w:rPr>
      </w:pPr>
      <w:r>
        <w:rPr>
          <w:rFonts w:ascii="AdvTTce2aec1c" w:hAnsi="AdvTTce2aec1c" w:cs="AdvTTce2aec1c"/>
          <w:sz w:val="24"/>
          <w:szCs w:val="24"/>
        </w:rPr>
        <w:t>Patients are more likely to suffer from Chronic Pain Syndromes and fibromya</w:t>
      </w:r>
      <w:r w:rsidR="00646791">
        <w:rPr>
          <w:rFonts w:ascii="AdvTTce2aec1c" w:hAnsi="AdvTTce2aec1c" w:cs="AdvTTce2aec1c"/>
          <w:sz w:val="24"/>
          <w:szCs w:val="24"/>
        </w:rPr>
        <w:t>l</w:t>
      </w:r>
      <w:r>
        <w:rPr>
          <w:rFonts w:ascii="AdvTTce2aec1c" w:hAnsi="AdvTTce2aec1c" w:cs="AdvTTce2aec1c"/>
          <w:sz w:val="24"/>
          <w:szCs w:val="24"/>
        </w:rPr>
        <w:t>gia type complaints and a referral to the Pain Service may help.</w:t>
      </w:r>
    </w:p>
    <w:p w14:paraId="5B93914C" w14:textId="77777777" w:rsidR="00A90FC9" w:rsidRDefault="00A90FC9" w:rsidP="00A90FC9">
      <w:pPr>
        <w:rPr>
          <w:rFonts w:ascii="AdvTTce2aec1c" w:hAnsi="AdvTTce2aec1c" w:cs="AdvTTce2aec1c"/>
          <w:sz w:val="24"/>
          <w:szCs w:val="24"/>
        </w:rPr>
      </w:pPr>
    </w:p>
    <w:p w14:paraId="0801714F" w14:textId="0896B522" w:rsidR="00A90FC9" w:rsidRDefault="00A90FC9" w:rsidP="00A90FC9">
      <w:pPr>
        <w:rPr>
          <w:rFonts w:ascii="AdvTTce2aec1c" w:hAnsi="AdvTTce2aec1c" w:cs="AdvTTce2aec1c"/>
          <w:sz w:val="24"/>
          <w:szCs w:val="24"/>
        </w:rPr>
      </w:pPr>
      <w:r>
        <w:rPr>
          <w:rFonts w:ascii="AdvTTce2aec1c" w:hAnsi="AdvTTce2aec1c" w:cs="AdvTTce2aec1c"/>
          <w:sz w:val="24"/>
          <w:szCs w:val="24"/>
        </w:rPr>
        <w:t xml:space="preserve">Useful patient information is available at </w:t>
      </w:r>
      <w:hyperlink r:id="rId12" w:history="1">
        <w:r w:rsidRPr="00A07320">
          <w:rPr>
            <w:rStyle w:val="Hyperlink"/>
            <w:rFonts w:ascii="AdvTTce2aec1c" w:hAnsi="AdvTTce2aec1c" w:cs="AdvTTce2aec1c"/>
            <w:sz w:val="24"/>
            <w:szCs w:val="24"/>
          </w:rPr>
          <w:t>https://www.versusarthritis.org/about-arthritis/conditions/joint-hypermobility/</w:t>
        </w:r>
      </w:hyperlink>
    </w:p>
    <w:p w14:paraId="180ED98D" w14:textId="77777777" w:rsidR="00A90FC9" w:rsidRDefault="00A90FC9" w:rsidP="00A90FC9">
      <w:pPr>
        <w:rPr>
          <w:rFonts w:ascii="AdvTTce2aec1c" w:hAnsi="AdvTTce2aec1c" w:cs="AdvTTce2aec1c"/>
          <w:sz w:val="24"/>
          <w:szCs w:val="24"/>
        </w:rPr>
      </w:pPr>
    </w:p>
    <w:p w14:paraId="62FCA272" w14:textId="3F830F0A" w:rsidR="00537EBD" w:rsidRDefault="00537EBD" w:rsidP="00A90FC9">
      <w:r>
        <w:br w:type="page"/>
      </w:r>
    </w:p>
    <w:p w14:paraId="35C76DAF" w14:textId="4229AE7B" w:rsidR="00903401" w:rsidRDefault="00903401"/>
    <w:p w14:paraId="7A000C35" w14:textId="2221DFAD" w:rsidR="003218A7" w:rsidRPr="003218A7" w:rsidRDefault="003218A7" w:rsidP="003218A7">
      <w:pPr>
        <w:jc w:val="center"/>
        <w:rPr>
          <w:color w:val="1155CC"/>
        </w:rPr>
      </w:pPr>
      <w:r>
        <w:rPr>
          <w:b/>
          <w:color w:val="351C75"/>
          <w:sz w:val="60"/>
          <w:szCs w:val="60"/>
        </w:rPr>
        <w:t>C</w:t>
      </w:r>
      <w:r>
        <w:rPr>
          <w:color w:val="1155CC"/>
        </w:rPr>
        <w:t xml:space="preserve">hallenging </w:t>
      </w:r>
      <w:proofErr w:type="spellStart"/>
      <w:r>
        <w:rPr>
          <w:b/>
          <w:color w:val="351C75"/>
          <w:sz w:val="60"/>
          <w:szCs w:val="60"/>
        </w:rPr>
        <w:t>O</w:t>
      </w:r>
      <w:r>
        <w:rPr>
          <w:color w:val="1155CC"/>
        </w:rPr>
        <w:t>steo</w:t>
      </w:r>
      <w:r>
        <w:rPr>
          <w:b/>
          <w:color w:val="351C75"/>
          <w:sz w:val="60"/>
          <w:szCs w:val="60"/>
        </w:rPr>
        <w:t>A</w:t>
      </w:r>
      <w:r>
        <w:rPr>
          <w:color w:val="1155CC"/>
        </w:rPr>
        <w:t>rthrits</w:t>
      </w:r>
      <w:proofErr w:type="spellEnd"/>
      <w:r>
        <w:rPr>
          <w:color w:val="1155CC"/>
        </w:rPr>
        <w:t xml:space="preserve"> and </w:t>
      </w:r>
      <w:r>
        <w:rPr>
          <w:b/>
          <w:color w:val="351C75"/>
          <w:sz w:val="60"/>
          <w:szCs w:val="60"/>
        </w:rPr>
        <w:t>C</w:t>
      </w:r>
      <w:r>
        <w:rPr>
          <w:color w:val="1155CC"/>
        </w:rPr>
        <w:t xml:space="preserve">hanging </w:t>
      </w:r>
      <w:r>
        <w:rPr>
          <w:b/>
          <w:color w:val="351C75"/>
          <w:sz w:val="60"/>
          <w:szCs w:val="60"/>
        </w:rPr>
        <w:t>H</w:t>
      </w:r>
      <w:r>
        <w:rPr>
          <w:color w:val="1155CC"/>
        </w:rPr>
        <w:t>ealth</w:t>
      </w:r>
    </w:p>
    <w:tbl>
      <w:tblPr>
        <w:tblStyle w:val="TableGrid"/>
        <w:tblW w:w="10916" w:type="dxa"/>
        <w:tblInd w:w="-743" w:type="dxa"/>
        <w:tblLook w:val="04A0" w:firstRow="1" w:lastRow="0" w:firstColumn="1" w:lastColumn="0" w:noHBand="0" w:noVBand="1"/>
      </w:tblPr>
      <w:tblGrid>
        <w:gridCol w:w="8789"/>
        <w:gridCol w:w="2127"/>
      </w:tblGrid>
      <w:tr w:rsidR="009432BC" w14:paraId="041C1CF7" w14:textId="77777777" w:rsidTr="00C53EBC">
        <w:trPr>
          <w:trHeight w:val="5874"/>
        </w:trPr>
        <w:tc>
          <w:tcPr>
            <w:tcW w:w="8789" w:type="dxa"/>
          </w:tcPr>
          <w:p w14:paraId="5D3CC299" w14:textId="233AE881" w:rsidR="009432BC" w:rsidRDefault="009432BC" w:rsidP="009432BC">
            <w:pPr>
              <w:jc w:val="both"/>
              <w:rPr>
                <w:sz w:val="20"/>
                <w:szCs w:val="20"/>
              </w:rPr>
            </w:pPr>
            <w:r>
              <w:rPr>
                <w:sz w:val="20"/>
                <w:szCs w:val="20"/>
              </w:rPr>
              <w:t xml:space="preserve">A team of enthusiastic musculoskeletal physiotherapists at the Princess Royal Hospital, Telford have successfully developed an education and exercise programme for people </w:t>
            </w:r>
            <w:r w:rsidR="0025110F">
              <w:rPr>
                <w:sz w:val="20"/>
                <w:szCs w:val="20"/>
              </w:rPr>
              <w:t>t</w:t>
            </w:r>
            <w:r>
              <w:rPr>
                <w:sz w:val="20"/>
                <w:szCs w:val="20"/>
              </w:rPr>
              <w:t>o manage osteoarthritis of their knees or hips.</w:t>
            </w:r>
          </w:p>
          <w:p w14:paraId="7F024337" w14:textId="77777777" w:rsidR="0025110F" w:rsidRDefault="0025110F" w:rsidP="009432BC">
            <w:pPr>
              <w:jc w:val="both"/>
              <w:rPr>
                <w:sz w:val="20"/>
                <w:szCs w:val="20"/>
              </w:rPr>
            </w:pPr>
          </w:p>
          <w:p w14:paraId="14D99ACE" w14:textId="615CF318" w:rsidR="0025110F" w:rsidRDefault="0025110F" w:rsidP="0025110F">
            <w:pPr>
              <w:jc w:val="both"/>
              <w:rPr>
                <w:sz w:val="20"/>
                <w:szCs w:val="20"/>
              </w:rPr>
            </w:pPr>
            <w:r>
              <w:rPr>
                <w:sz w:val="20"/>
                <w:szCs w:val="20"/>
              </w:rPr>
              <w:t xml:space="preserve">The team pictured below consists of Physiotherapists, Amy Haines-Eynon and Nikki Chettle, with Jan Williams and Tracey Harris </w:t>
            </w:r>
            <w:r w:rsidR="00C53EBC">
              <w:rPr>
                <w:sz w:val="20"/>
                <w:szCs w:val="20"/>
              </w:rPr>
              <w:t>(</w:t>
            </w:r>
            <w:r>
              <w:rPr>
                <w:sz w:val="20"/>
                <w:szCs w:val="20"/>
              </w:rPr>
              <w:t>Therapy Tech</w:t>
            </w:r>
            <w:r w:rsidR="00C53EBC">
              <w:rPr>
                <w:sz w:val="20"/>
                <w:szCs w:val="20"/>
              </w:rPr>
              <w:t>nicians)</w:t>
            </w:r>
            <w:r>
              <w:rPr>
                <w:sz w:val="20"/>
                <w:szCs w:val="20"/>
              </w:rPr>
              <w:t xml:space="preserve">.  The team piloted a programme for a large patient population who commonly struggle to manage their symptoms. </w:t>
            </w:r>
          </w:p>
          <w:p w14:paraId="7B149431" w14:textId="77777777" w:rsidR="0025110F" w:rsidRDefault="0025110F" w:rsidP="0025110F">
            <w:pPr>
              <w:jc w:val="both"/>
              <w:rPr>
                <w:sz w:val="20"/>
                <w:szCs w:val="20"/>
              </w:rPr>
            </w:pPr>
          </w:p>
          <w:p w14:paraId="5F862751" w14:textId="1E8D746E" w:rsidR="0025110F" w:rsidRDefault="00C53EBC" w:rsidP="0025110F">
            <w:pPr>
              <w:jc w:val="both"/>
              <w:rPr>
                <w:sz w:val="20"/>
                <w:szCs w:val="20"/>
              </w:rPr>
            </w:pPr>
            <w:r>
              <w:rPr>
                <w:noProof/>
              </w:rPr>
              <w:drawing>
                <wp:anchor distT="114300" distB="114300" distL="114300" distR="114300" simplePos="0" relativeHeight="251660800" behindDoc="0" locked="0" layoutInCell="1" hidden="0" allowOverlap="1" wp14:anchorId="2185F74A" wp14:editId="465842E7">
                  <wp:simplePos x="0" y="0"/>
                  <wp:positionH relativeFrom="column">
                    <wp:posOffset>14605</wp:posOffset>
                  </wp:positionH>
                  <wp:positionV relativeFrom="paragraph">
                    <wp:posOffset>55245</wp:posOffset>
                  </wp:positionV>
                  <wp:extent cx="2995295" cy="2298700"/>
                  <wp:effectExtent l="0" t="0" r="0" b="635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995295" cy="2298700"/>
                          </a:xfrm>
                          <a:prstGeom prst="rect">
                            <a:avLst/>
                          </a:prstGeom>
                          <a:ln/>
                        </pic:spPr>
                      </pic:pic>
                    </a:graphicData>
                  </a:graphic>
                </wp:anchor>
              </w:drawing>
            </w:r>
            <w:r w:rsidR="0025110F">
              <w:rPr>
                <w:sz w:val="20"/>
                <w:szCs w:val="20"/>
              </w:rPr>
              <w:t xml:space="preserve">The classes run over a six-week period, with one session per week consisting of an education element along a progressive exercise programme in line with the NICE guidelines for </w:t>
            </w:r>
            <w:proofErr w:type="spellStart"/>
            <w:r w:rsidR="0025110F">
              <w:rPr>
                <w:sz w:val="20"/>
                <w:szCs w:val="20"/>
              </w:rPr>
              <w:t>Osteoathritis</w:t>
            </w:r>
            <w:proofErr w:type="spellEnd"/>
            <w:r w:rsidR="0025110F">
              <w:rPr>
                <w:sz w:val="20"/>
                <w:szCs w:val="20"/>
              </w:rPr>
              <w:t xml:space="preserve"> (2014). </w:t>
            </w:r>
            <w:r w:rsidR="0025110F" w:rsidRPr="0025110F">
              <w:rPr>
                <w:sz w:val="20"/>
                <w:szCs w:val="20"/>
              </w:rPr>
              <w:t>Patients attending the classes are entitled to a parking subsidy.</w:t>
            </w:r>
          </w:p>
          <w:p w14:paraId="389F30A8" w14:textId="0A920318" w:rsidR="0025110F" w:rsidRDefault="0025110F" w:rsidP="0025110F">
            <w:pPr>
              <w:jc w:val="both"/>
              <w:rPr>
                <w:sz w:val="20"/>
                <w:szCs w:val="20"/>
              </w:rPr>
            </w:pPr>
          </w:p>
          <w:p w14:paraId="4E1A7BE4" w14:textId="300803C6" w:rsidR="009432BC" w:rsidRDefault="0025110F" w:rsidP="0025110F">
            <w:pPr>
              <w:jc w:val="both"/>
            </w:pPr>
            <w:r>
              <w:rPr>
                <w:sz w:val="20"/>
                <w:szCs w:val="20"/>
              </w:rPr>
              <w:t>Education sessions consist of; Understanding of Osteoarthritis, Pain, Lifestyle, Medication, Self</w:t>
            </w:r>
            <w:r w:rsidR="00C53EBC">
              <w:rPr>
                <w:sz w:val="20"/>
                <w:szCs w:val="20"/>
              </w:rPr>
              <w:t>-</w:t>
            </w:r>
            <w:r>
              <w:rPr>
                <w:sz w:val="20"/>
                <w:szCs w:val="20"/>
              </w:rPr>
              <w:t>management and Managing flare ups. Telford and Wrekin Council Local Health Trainers also attend the sessions, encouraging people to make long term changes to their lifestyle.</w:t>
            </w:r>
          </w:p>
        </w:tc>
        <w:tc>
          <w:tcPr>
            <w:tcW w:w="2127" w:type="dxa"/>
          </w:tcPr>
          <w:p w14:paraId="690FB204" w14:textId="77777777" w:rsidR="009432BC" w:rsidRDefault="009432BC">
            <w:pPr>
              <w:jc w:val="both"/>
            </w:pPr>
          </w:p>
          <w:p w14:paraId="1A2D3BA4" w14:textId="77777777" w:rsidR="0025110F" w:rsidRPr="00131325" w:rsidRDefault="0025110F" w:rsidP="0025110F">
            <w:pPr>
              <w:rPr>
                <w:color w:val="4F81BD" w:themeColor="accent1"/>
              </w:rPr>
            </w:pPr>
            <w:r w:rsidRPr="00131325">
              <w:rPr>
                <w:color w:val="4F81BD" w:themeColor="accent1"/>
              </w:rPr>
              <w:t>Referral process</w:t>
            </w:r>
            <w:r w:rsidR="00131325">
              <w:rPr>
                <w:color w:val="4F81BD" w:themeColor="accent1"/>
              </w:rPr>
              <w:t xml:space="preserve"> t</w:t>
            </w:r>
            <w:r w:rsidRPr="00131325">
              <w:rPr>
                <w:color w:val="4F81BD" w:themeColor="accent1"/>
              </w:rPr>
              <w:t xml:space="preserve">hrough </w:t>
            </w:r>
            <w:proofErr w:type="spellStart"/>
            <w:r w:rsidRPr="00131325">
              <w:rPr>
                <w:color w:val="4F81BD" w:themeColor="accent1"/>
              </w:rPr>
              <w:t>TeMS</w:t>
            </w:r>
            <w:proofErr w:type="spellEnd"/>
          </w:p>
          <w:p w14:paraId="5455C38A" w14:textId="77777777" w:rsidR="0025110F" w:rsidRPr="00131325" w:rsidRDefault="0025110F" w:rsidP="0025110F">
            <w:pPr>
              <w:rPr>
                <w:color w:val="4F81BD" w:themeColor="accent1"/>
              </w:rPr>
            </w:pPr>
          </w:p>
          <w:p w14:paraId="29471482" w14:textId="77777777" w:rsidR="009758B5" w:rsidRDefault="009758B5" w:rsidP="0025110F">
            <w:pPr>
              <w:rPr>
                <w:color w:val="4F81BD" w:themeColor="accent1"/>
              </w:rPr>
            </w:pPr>
          </w:p>
          <w:p w14:paraId="0F33078B" w14:textId="77777777" w:rsidR="009758B5" w:rsidRDefault="009758B5" w:rsidP="0025110F">
            <w:pPr>
              <w:rPr>
                <w:color w:val="4F81BD" w:themeColor="accent1"/>
              </w:rPr>
            </w:pPr>
          </w:p>
          <w:p w14:paraId="793B717A" w14:textId="26EA8D14" w:rsidR="0025110F" w:rsidRPr="00131325" w:rsidRDefault="0025110F" w:rsidP="0025110F">
            <w:pPr>
              <w:rPr>
                <w:color w:val="4F81BD" w:themeColor="accent1"/>
              </w:rPr>
            </w:pPr>
            <w:r w:rsidRPr="00131325">
              <w:rPr>
                <w:color w:val="4F81BD" w:themeColor="accent1"/>
              </w:rPr>
              <w:t>The department works in partnership with the Telford Musculoskeletal Service (</w:t>
            </w:r>
            <w:proofErr w:type="spellStart"/>
            <w:r w:rsidRPr="00131325">
              <w:rPr>
                <w:color w:val="4F81BD" w:themeColor="accent1"/>
              </w:rPr>
              <w:t>TeMS</w:t>
            </w:r>
            <w:proofErr w:type="spellEnd"/>
            <w:r w:rsidRPr="00131325">
              <w:rPr>
                <w:color w:val="4F81BD" w:themeColor="accent1"/>
              </w:rPr>
              <w:t>).</w:t>
            </w:r>
          </w:p>
          <w:p w14:paraId="787D482F" w14:textId="77777777" w:rsidR="0025110F" w:rsidRPr="00131325" w:rsidRDefault="0025110F" w:rsidP="0025110F">
            <w:pPr>
              <w:rPr>
                <w:color w:val="4F81BD" w:themeColor="accent1"/>
              </w:rPr>
            </w:pPr>
          </w:p>
          <w:p w14:paraId="0CA11EB6" w14:textId="77777777" w:rsidR="009758B5" w:rsidRDefault="009758B5" w:rsidP="0025110F">
            <w:pPr>
              <w:rPr>
                <w:color w:val="4F81BD" w:themeColor="accent1"/>
              </w:rPr>
            </w:pPr>
          </w:p>
          <w:p w14:paraId="27A477A0" w14:textId="77777777" w:rsidR="009758B5" w:rsidRDefault="009758B5" w:rsidP="0025110F">
            <w:pPr>
              <w:rPr>
                <w:color w:val="4F81BD" w:themeColor="accent1"/>
              </w:rPr>
            </w:pPr>
          </w:p>
          <w:p w14:paraId="79471E71" w14:textId="6B8DF99B" w:rsidR="0025110F" w:rsidRPr="00131325" w:rsidRDefault="0025110F" w:rsidP="0025110F">
            <w:pPr>
              <w:rPr>
                <w:color w:val="4F81BD" w:themeColor="accent1"/>
              </w:rPr>
            </w:pPr>
            <w:proofErr w:type="spellStart"/>
            <w:r w:rsidRPr="00131325">
              <w:rPr>
                <w:color w:val="4F81BD" w:themeColor="accent1"/>
              </w:rPr>
              <w:t>SaTH</w:t>
            </w:r>
            <w:proofErr w:type="spellEnd"/>
            <w:r w:rsidRPr="00131325">
              <w:rPr>
                <w:color w:val="4F81BD" w:themeColor="accent1"/>
              </w:rPr>
              <w:t xml:space="preserve"> work</w:t>
            </w:r>
            <w:r w:rsidR="009758B5">
              <w:rPr>
                <w:color w:val="4F81BD" w:themeColor="accent1"/>
              </w:rPr>
              <w:t>ing</w:t>
            </w:r>
            <w:r w:rsidRPr="00131325">
              <w:rPr>
                <w:color w:val="4F81BD" w:themeColor="accent1"/>
              </w:rPr>
              <w:t xml:space="preserve"> closely with the </w:t>
            </w:r>
            <w:proofErr w:type="spellStart"/>
            <w:r w:rsidRPr="00131325">
              <w:rPr>
                <w:color w:val="4F81BD" w:themeColor="accent1"/>
              </w:rPr>
              <w:t>TeMS</w:t>
            </w:r>
            <w:proofErr w:type="spellEnd"/>
            <w:r w:rsidRPr="00131325">
              <w:rPr>
                <w:color w:val="4F81BD" w:themeColor="accent1"/>
              </w:rPr>
              <w:t xml:space="preserve"> clinical management team to streamline access to the group</w:t>
            </w:r>
            <w:r w:rsidR="00131325">
              <w:rPr>
                <w:color w:val="4F81BD" w:themeColor="accent1"/>
              </w:rPr>
              <w:t>.</w:t>
            </w:r>
          </w:p>
          <w:p w14:paraId="3867E07E" w14:textId="77777777" w:rsidR="0025110F" w:rsidRDefault="0025110F" w:rsidP="0025110F">
            <w:r w:rsidRPr="00131325">
              <w:rPr>
                <w:color w:val="4F81BD" w:themeColor="accent1"/>
              </w:rPr>
              <w:t xml:space="preserve"> </w:t>
            </w:r>
          </w:p>
        </w:tc>
      </w:tr>
      <w:tr w:rsidR="001541D5" w14:paraId="1DCBDEF7" w14:textId="77777777" w:rsidTr="00C53EBC">
        <w:trPr>
          <w:trHeight w:val="5874"/>
        </w:trPr>
        <w:tc>
          <w:tcPr>
            <w:tcW w:w="8789" w:type="dxa"/>
          </w:tcPr>
          <w:p w14:paraId="5274FC74" w14:textId="77777777" w:rsidR="001541D5" w:rsidRPr="001541D5" w:rsidRDefault="001541D5" w:rsidP="001541D5">
            <w:pPr>
              <w:jc w:val="both"/>
              <w:rPr>
                <w:sz w:val="20"/>
                <w:szCs w:val="20"/>
              </w:rPr>
            </w:pPr>
            <w:r w:rsidRPr="001541D5">
              <w:rPr>
                <w:sz w:val="20"/>
                <w:szCs w:val="20"/>
              </w:rPr>
              <w:t>As a result patients have a;</w:t>
            </w:r>
          </w:p>
          <w:p w14:paraId="6D05CC2C" w14:textId="77777777" w:rsidR="001541D5" w:rsidRPr="001541D5" w:rsidRDefault="001541D5" w:rsidP="001541D5">
            <w:pPr>
              <w:jc w:val="both"/>
              <w:rPr>
                <w:sz w:val="20"/>
                <w:szCs w:val="20"/>
              </w:rPr>
            </w:pPr>
            <w:r w:rsidRPr="001541D5">
              <w:rPr>
                <w:sz w:val="20"/>
                <w:szCs w:val="20"/>
              </w:rPr>
              <w:t>Subjective change in attitude and approach to managing their symptoms</w:t>
            </w:r>
          </w:p>
          <w:p w14:paraId="1276B29E" w14:textId="77777777" w:rsidR="001541D5" w:rsidRPr="001541D5" w:rsidRDefault="001541D5" w:rsidP="001541D5">
            <w:pPr>
              <w:jc w:val="both"/>
              <w:rPr>
                <w:sz w:val="20"/>
                <w:szCs w:val="20"/>
              </w:rPr>
            </w:pPr>
            <w:r w:rsidRPr="001541D5">
              <w:rPr>
                <w:sz w:val="20"/>
                <w:szCs w:val="20"/>
              </w:rPr>
              <w:t xml:space="preserve">55% meet the minimally clinical significant difference on Keele University’s MSK-HQ questionnaire. </w:t>
            </w:r>
          </w:p>
          <w:p w14:paraId="6EAF09D3" w14:textId="77777777" w:rsidR="001541D5" w:rsidRPr="001541D5" w:rsidRDefault="001541D5" w:rsidP="001541D5">
            <w:pPr>
              <w:jc w:val="both"/>
              <w:rPr>
                <w:sz w:val="20"/>
                <w:szCs w:val="20"/>
              </w:rPr>
            </w:pPr>
            <w:r w:rsidRPr="001541D5">
              <w:rPr>
                <w:sz w:val="20"/>
                <w:szCs w:val="20"/>
              </w:rPr>
              <w:t xml:space="preserve">Functionally, 51% of patients are meeting the minimally clinical significant difference for the sit to stand test. </w:t>
            </w:r>
          </w:p>
          <w:p w14:paraId="4C18C6DB" w14:textId="77777777" w:rsidR="001541D5" w:rsidRPr="001541D5" w:rsidRDefault="001541D5" w:rsidP="001541D5">
            <w:pPr>
              <w:jc w:val="both"/>
              <w:rPr>
                <w:sz w:val="20"/>
                <w:szCs w:val="20"/>
              </w:rPr>
            </w:pPr>
            <w:r w:rsidRPr="001541D5">
              <w:rPr>
                <w:sz w:val="20"/>
                <w:szCs w:val="20"/>
              </w:rPr>
              <w:t xml:space="preserve">44% of patients are satisfactorily discharged directly from the class </w:t>
            </w:r>
          </w:p>
          <w:p w14:paraId="6D91AC47" w14:textId="77777777" w:rsidR="001541D5" w:rsidRPr="001541D5" w:rsidRDefault="001541D5" w:rsidP="001541D5">
            <w:pPr>
              <w:jc w:val="both"/>
              <w:rPr>
                <w:sz w:val="20"/>
                <w:szCs w:val="20"/>
              </w:rPr>
            </w:pPr>
            <w:r w:rsidRPr="001541D5">
              <w:rPr>
                <w:sz w:val="20"/>
                <w:szCs w:val="20"/>
              </w:rPr>
              <w:t>39% are given an independent exercise circuit in our well-equipped gym at the PRH, with follow up from an experienced physiotherapist.</w:t>
            </w:r>
          </w:p>
          <w:p w14:paraId="300DDDB1" w14:textId="7DCBD031" w:rsidR="001541D5" w:rsidRPr="001541D5" w:rsidRDefault="001541D5" w:rsidP="001541D5">
            <w:pPr>
              <w:jc w:val="both"/>
              <w:rPr>
                <w:sz w:val="20"/>
                <w:szCs w:val="20"/>
              </w:rPr>
            </w:pPr>
          </w:p>
          <w:p w14:paraId="1EFE95F6" w14:textId="77777777" w:rsidR="001541D5" w:rsidRPr="001541D5" w:rsidRDefault="001541D5" w:rsidP="001541D5">
            <w:pPr>
              <w:jc w:val="both"/>
              <w:rPr>
                <w:sz w:val="20"/>
                <w:szCs w:val="20"/>
              </w:rPr>
            </w:pPr>
            <w:r w:rsidRPr="001541D5">
              <w:rPr>
                <w:sz w:val="20"/>
                <w:szCs w:val="20"/>
              </w:rPr>
              <w:t>Nikki says;</w:t>
            </w:r>
          </w:p>
          <w:p w14:paraId="27CBBCDC" w14:textId="77777777" w:rsidR="001541D5" w:rsidRPr="001541D5" w:rsidRDefault="001541D5" w:rsidP="001541D5">
            <w:pPr>
              <w:jc w:val="both"/>
              <w:rPr>
                <w:sz w:val="20"/>
                <w:szCs w:val="20"/>
              </w:rPr>
            </w:pPr>
            <w:r w:rsidRPr="001541D5">
              <w:rPr>
                <w:sz w:val="20"/>
                <w:szCs w:val="20"/>
              </w:rPr>
              <w:t>“</w:t>
            </w:r>
            <w:proofErr w:type="gramStart"/>
            <w:r w:rsidRPr="001541D5">
              <w:rPr>
                <w:sz w:val="20"/>
                <w:szCs w:val="20"/>
              </w:rPr>
              <w:t>what</w:t>
            </w:r>
            <w:proofErr w:type="gramEnd"/>
            <w:r w:rsidRPr="001541D5">
              <w:rPr>
                <w:sz w:val="20"/>
                <w:szCs w:val="20"/>
              </w:rPr>
              <w:t xml:space="preserve"> the results show are that patients are starting to make positively significant changes in a short space of time, which we hope will be carried over into the community through linking in with our local health trainers”.</w:t>
            </w:r>
          </w:p>
          <w:p w14:paraId="31A67565" w14:textId="0E52DAC8" w:rsidR="001541D5" w:rsidRPr="001541D5" w:rsidRDefault="001541D5" w:rsidP="001541D5">
            <w:pPr>
              <w:jc w:val="both"/>
              <w:rPr>
                <w:sz w:val="20"/>
                <w:szCs w:val="20"/>
              </w:rPr>
            </w:pPr>
          </w:p>
          <w:p w14:paraId="59F282A0" w14:textId="77777777" w:rsidR="001541D5" w:rsidRPr="001541D5" w:rsidRDefault="001541D5" w:rsidP="001541D5">
            <w:pPr>
              <w:jc w:val="both"/>
              <w:rPr>
                <w:sz w:val="20"/>
                <w:szCs w:val="20"/>
              </w:rPr>
            </w:pPr>
            <w:r w:rsidRPr="001541D5">
              <w:rPr>
                <w:sz w:val="20"/>
                <w:szCs w:val="20"/>
              </w:rPr>
              <w:t>Amy says;</w:t>
            </w:r>
          </w:p>
          <w:p w14:paraId="478A1349" w14:textId="77777777" w:rsidR="001541D5" w:rsidRPr="001541D5" w:rsidRDefault="001541D5" w:rsidP="001541D5">
            <w:pPr>
              <w:jc w:val="both"/>
              <w:rPr>
                <w:sz w:val="20"/>
                <w:szCs w:val="20"/>
              </w:rPr>
            </w:pPr>
            <w:r w:rsidRPr="001541D5">
              <w:rPr>
                <w:sz w:val="20"/>
                <w:szCs w:val="20"/>
              </w:rPr>
              <w:t>“we see the class as an interim intervention where we look to start to change patients behaviour positively towards management of their condition with options to put their new found knowledge into practice”</w:t>
            </w:r>
          </w:p>
          <w:p w14:paraId="41593D0B" w14:textId="4879CC16" w:rsidR="001541D5" w:rsidRPr="001541D5" w:rsidRDefault="001541D5" w:rsidP="001541D5">
            <w:pPr>
              <w:jc w:val="both"/>
              <w:rPr>
                <w:sz w:val="20"/>
                <w:szCs w:val="20"/>
              </w:rPr>
            </w:pPr>
          </w:p>
          <w:p w14:paraId="1787B7D3" w14:textId="77777777" w:rsidR="001541D5" w:rsidRPr="001541D5" w:rsidRDefault="001541D5" w:rsidP="001541D5">
            <w:pPr>
              <w:jc w:val="both"/>
              <w:rPr>
                <w:sz w:val="20"/>
                <w:szCs w:val="20"/>
              </w:rPr>
            </w:pPr>
            <w:r w:rsidRPr="001541D5">
              <w:rPr>
                <w:sz w:val="20"/>
                <w:szCs w:val="20"/>
              </w:rPr>
              <w:t>Patients have commented on;</w:t>
            </w:r>
          </w:p>
          <w:p w14:paraId="4CA3D18C" w14:textId="77777777" w:rsidR="001541D5" w:rsidRPr="001541D5" w:rsidRDefault="001541D5" w:rsidP="001541D5">
            <w:pPr>
              <w:jc w:val="both"/>
              <w:rPr>
                <w:sz w:val="20"/>
                <w:szCs w:val="20"/>
              </w:rPr>
            </w:pPr>
            <w:r w:rsidRPr="001541D5">
              <w:rPr>
                <w:sz w:val="20"/>
                <w:szCs w:val="20"/>
              </w:rPr>
              <w:t>“ the benefit of discussing my symptoms with other people with a similar condition”</w:t>
            </w:r>
          </w:p>
          <w:p w14:paraId="43AAD508" w14:textId="77777777" w:rsidR="001541D5" w:rsidRPr="001541D5" w:rsidRDefault="001541D5" w:rsidP="001541D5">
            <w:pPr>
              <w:jc w:val="both"/>
              <w:rPr>
                <w:sz w:val="20"/>
                <w:szCs w:val="20"/>
              </w:rPr>
            </w:pPr>
            <w:r w:rsidRPr="001541D5">
              <w:rPr>
                <w:sz w:val="20"/>
                <w:szCs w:val="20"/>
              </w:rPr>
              <w:t>“the positive power of reassurance that I can do more activity without damaging my joints”</w:t>
            </w:r>
          </w:p>
          <w:p w14:paraId="2E6B8136" w14:textId="5ACDE06F" w:rsidR="001541D5" w:rsidRPr="001541D5" w:rsidRDefault="001541D5" w:rsidP="001541D5">
            <w:pPr>
              <w:jc w:val="both"/>
              <w:rPr>
                <w:sz w:val="20"/>
                <w:szCs w:val="20"/>
              </w:rPr>
            </w:pPr>
          </w:p>
          <w:p w14:paraId="6D48B068" w14:textId="77777777" w:rsidR="001541D5" w:rsidRPr="001541D5" w:rsidRDefault="001541D5" w:rsidP="001541D5">
            <w:pPr>
              <w:jc w:val="both"/>
              <w:rPr>
                <w:sz w:val="20"/>
                <w:szCs w:val="20"/>
              </w:rPr>
            </w:pPr>
            <w:r w:rsidRPr="001541D5">
              <w:rPr>
                <w:sz w:val="20"/>
                <w:szCs w:val="20"/>
              </w:rPr>
              <w:t>The next steps:</w:t>
            </w:r>
          </w:p>
          <w:p w14:paraId="18A4840A" w14:textId="77777777" w:rsidR="001541D5" w:rsidRPr="001541D5" w:rsidRDefault="001541D5" w:rsidP="001541D5">
            <w:pPr>
              <w:jc w:val="both"/>
              <w:rPr>
                <w:sz w:val="20"/>
                <w:szCs w:val="20"/>
              </w:rPr>
            </w:pPr>
            <w:r w:rsidRPr="001541D5">
              <w:rPr>
                <w:sz w:val="20"/>
                <w:szCs w:val="20"/>
              </w:rPr>
              <w:t xml:space="preserve">The pilot has been continued given the positive pilot results. </w:t>
            </w:r>
          </w:p>
          <w:p w14:paraId="7A6A29A7" w14:textId="77777777" w:rsidR="001541D5" w:rsidRPr="001541D5" w:rsidRDefault="001541D5" w:rsidP="001541D5">
            <w:pPr>
              <w:jc w:val="both"/>
              <w:rPr>
                <w:sz w:val="20"/>
                <w:szCs w:val="20"/>
              </w:rPr>
            </w:pPr>
            <w:r w:rsidRPr="001541D5">
              <w:rPr>
                <w:sz w:val="20"/>
                <w:szCs w:val="20"/>
              </w:rPr>
              <w:t>The programme will be further developed in line with the Escape Pain programme.</w:t>
            </w:r>
            <w:r w:rsidRPr="001541D5">
              <w:rPr>
                <w:sz w:val="20"/>
                <w:szCs w:val="20"/>
              </w:rPr>
              <w:tab/>
            </w:r>
          </w:p>
          <w:p w14:paraId="5E3ECCD2" w14:textId="77777777" w:rsidR="001541D5" w:rsidRDefault="001541D5" w:rsidP="009432BC">
            <w:pPr>
              <w:jc w:val="both"/>
              <w:rPr>
                <w:sz w:val="20"/>
                <w:szCs w:val="20"/>
              </w:rPr>
            </w:pPr>
          </w:p>
        </w:tc>
        <w:tc>
          <w:tcPr>
            <w:tcW w:w="2127" w:type="dxa"/>
          </w:tcPr>
          <w:p w14:paraId="2A446B0F" w14:textId="77777777" w:rsidR="001541D5" w:rsidRDefault="001541D5">
            <w:pPr>
              <w:jc w:val="both"/>
            </w:pPr>
          </w:p>
        </w:tc>
      </w:tr>
      <w:tr w:rsidR="009432BC" w14:paraId="78E463EF" w14:textId="77777777" w:rsidTr="00C53EBC">
        <w:trPr>
          <w:trHeight w:val="7927"/>
        </w:trPr>
        <w:tc>
          <w:tcPr>
            <w:tcW w:w="8789" w:type="dxa"/>
          </w:tcPr>
          <w:p w14:paraId="62E9BAE1" w14:textId="50D21902" w:rsidR="009432BC" w:rsidRDefault="009432BC" w:rsidP="0025110F">
            <w:pPr>
              <w:jc w:val="both"/>
            </w:pPr>
          </w:p>
          <w:p w14:paraId="3BB33423" w14:textId="77777777" w:rsidR="00BC5082" w:rsidRDefault="00BC5082" w:rsidP="0025110F">
            <w:pPr>
              <w:jc w:val="both"/>
            </w:pPr>
          </w:p>
          <w:p w14:paraId="18F529EB" w14:textId="52250C8D" w:rsidR="00BC5082" w:rsidRDefault="00BC5082" w:rsidP="0025110F">
            <w:pPr>
              <w:jc w:val="both"/>
              <w:rPr>
                <w:u w:val="single"/>
              </w:rPr>
            </w:pPr>
            <w:r w:rsidRPr="00BC5082">
              <w:rPr>
                <w:u w:val="single"/>
              </w:rPr>
              <w:t>Sub-acromial Decompression</w:t>
            </w:r>
            <w:r>
              <w:rPr>
                <w:u w:val="single"/>
              </w:rPr>
              <w:t>; SAD</w:t>
            </w:r>
          </w:p>
          <w:p w14:paraId="1055CA4E" w14:textId="77777777" w:rsidR="00BC5082" w:rsidRDefault="00BC5082" w:rsidP="0025110F">
            <w:pPr>
              <w:jc w:val="both"/>
              <w:rPr>
                <w:u w:val="single"/>
              </w:rPr>
            </w:pPr>
          </w:p>
          <w:p w14:paraId="725F65D2" w14:textId="77777777" w:rsidR="00BC5082" w:rsidRDefault="00BC5082" w:rsidP="0025110F">
            <w:pPr>
              <w:jc w:val="both"/>
            </w:pPr>
            <w:r>
              <w:t>A recent BMJ review article about SAD does not recommend operative treatment for shoulder impingement.</w:t>
            </w:r>
          </w:p>
          <w:p w14:paraId="271634F9" w14:textId="77777777" w:rsidR="00BC5082" w:rsidRDefault="00BC5082" w:rsidP="0025110F">
            <w:pPr>
              <w:jc w:val="both"/>
            </w:pPr>
          </w:p>
          <w:p w14:paraId="1032FF77" w14:textId="77777777" w:rsidR="00BC5082" w:rsidRPr="00BC5082" w:rsidRDefault="00BC5082" w:rsidP="00BC5082">
            <w:pPr>
              <w:rPr>
                <w:rFonts w:ascii="Times New Roman" w:eastAsia="Times New Roman" w:hAnsi="Times New Roman" w:cs="Times New Roman"/>
                <w:sz w:val="24"/>
                <w:szCs w:val="24"/>
                <w:lang w:val="en"/>
              </w:rPr>
            </w:pPr>
            <w:r w:rsidRPr="00BC5082">
              <w:rPr>
                <w:rFonts w:ascii="Times New Roman" w:eastAsia="Times New Roman" w:hAnsi="Times New Roman" w:cs="Times New Roman"/>
                <w:sz w:val="24"/>
                <w:szCs w:val="24"/>
                <w:lang w:val="en"/>
              </w:rPr>
              <w:t xml:space="preserve">Practice Rapid Recommendations </w:t>
            </w:r>
          </w:p>
          <w:p w14:paraId="0F7F3AB2" w14:textId="77777777" w:rsidR="00BC5082" w:rsidRPr="00BC5082" w:rsidRDefault="00BC5082" w:rsidP="00BC5082">
            <w:pPr>
              <w:spacing w:before="100" w:beforeAutospacing="1" w:after="100" w:afterAutospacing="1"/>
              <w:outlineLvl w:val="0"/>
              <w:rPr>
                <w:rFonts w:ascii="Times New Roman" w:eastAsia="Times New Roman" w:hAnsi="Times New Roman" w:cs="Times New Roman"/>
                <w:b/>
                <w:bCs/>
                <w:kern w:val="36"/>
                <w:sz w:val="32"/>
                <w:szCs w:val="32"/>
              </w:rPr>
            </w:pPr>
            <w:proofErr w:type="spellStart"/>
            <w:r w:rsidRPr="00BC5082">
              <w:rPr>
                <w:rFonts w:ascii="Times New Roman" w:eastAsia="Times New Roman" w:hAnsi="Times New Roman" w:cs="Times New Roman"/>
                <w:b/>
                <w:bCs/>
                <w:kern w:val="36"/>
                <w:sz w:val="32"/>
                <w:szCs w:val="32"/>
                <w:lang w:val="en"/>
              </w:rPr>
              <w:t>Subacromial</w:t>
            </w:r>
            <w:proofErr w:type="spellEnd"/>
            <w:r w:rsidRPr="00BC5082">
              <w:rPr>
                <w:rFonts w:ascii="Times New Roman" w:eastAsia="Times New Roman" w:hAnsi="Times New Roman" w:cs="Times New Roman"/>
                <w:b/>
                <w:bCs/>
                <w:kern w:val="36"/>
                <w:sz w:val="32"/>
                <w:szCs w:val="32"/>
                <w:lang w:val="en"/>
              </w:rPr>
              <w:t xml:space="preserve"> decompression surgery for adults with shoulder pain: a clinical practice guideline</w:t>
            </w:r>
          </w:p>
          <w:p w14:paraId="3000391F" w14:textId="77777777" w:rsidR="00BC5082" w:rsidRDefault="00BC5082" w:rsidP="00BC5082">
            <w:pPr>
              <w:jc w:val="both"/>
              <w:rPr>
                <w:rFonts w:ascii="Times New Roman" w:eastAsia="Times New Roman" w:hAnsi="Times New Roman" w:cs="Times New Roman"/>
                <w:sz w:val="24"/>
                <w:szCs w:val="24"/>
                <w:lang w:val="en"/>
              </w:rPr>
            </w:pPr>
            <w:r w:rsidRPr="00BC5082">
              <w:rPr>
                <w:rFonts w:ascii="Times New Roman" w:eastAsia="Times New Roman" w:hAnsi="Times New Roman" w:cs="Times New Roman"/>
                <w:sz w:val="24"/>
                <w:szCs w:val="24"/>
                <w:lang w:val="en"/>
              </w:rPr>
              <w:t xml:space="preserve">BMJ 2019; 364 </w:t>
            </w:r>
            <w:proofErr w:type="spellStart"/>
            <w:r w:rsidRPr="00BC5082">
              <w:rPr>
                <w:rFonts w:ascii="Times New Roman" w:eastAsia="Times New Roman" w:hAnsi="Times New Roman" w:cs="Times New Roman"/>
                <w:sz w:val="24"/>
                <w:szCs w:val="24"/>
                <w:lang w:val="en"/>
              </w:rPr>
              <w:t>doi</w:t>
            </w:r>
            <w:proofErr w:type="spellEnd"/>
            <w:r w:rsidRPr="00BC5082">
              <w:rPr>
                <w:rFonts w:ascii="Times New Roman" w:eastAsia="Times New Roman" w:hAnsi="Times New Roman" w:cs="Times New Roman"/>
                <w:sz w:val="24"/>
                <w:szCs w:val="24"/>
                <w:lang w:val="en"/>
              </w:rPr>
              <w:t xml:space="preserve">: </w:t>
            </w:r>
            <w:hyperlink r:id="rId14" w:history="1">
              <w:r w:rsidRPr="00BC5082">
                <w:rPr>
                  <w:rFonts w:ascii="Times New Roman" w:eastAsia="Times New Roman" w:hAnsi="Times New Roman" w:cs="Times New Roman"/>
                  <w:color w:val="0000FF"/>
                  <w:sz w:val="24"/>
                  <w:szCs w:val="24"/>
                  <w:u w:val="single"/>
                  <w:lang w:val="en"/>
                </w:rPr>
                <w:t>https://doi.org/10.1136/bmj.l294</w:t>
              </w:r>
            </w:hyperlink>
            <w:r w:rsidRPr="00BC5082">
              <w:rPr>
                <w:rFonts w:ascii="Times New Roman" w:eastAsia="Times New Roman" w:hAnsi="Times New Roman" w:cs="Times New Roman"/>
                <w:sz w:val="24"/>
                <w:szCs w:val="24"/>
                <w:lang w:val="en"/>
              </w:rPr>
              <w:t xml:space="preserve"> (Published 06 February 2019) Cite this as: BMJ 2019;364:l294</w:t>
            </w:r>
          </w:p>
          <w:p w14:paraId="316BB5FB" w14:textId="77777777" w:rsidR="007829E3" w:rsidRDefault="007829E3" w:rsidP="00BC5082">
            <w:pPr>
              <w:jc w:val="both"/>
              <w:rPr>
                <w:rFonts w:ascii="Times New Roman" w:eastAsia="Times New Roman" w:hAnsi="Times New Roman" w:cs="Times New Roman"/>
                <w:sz w:val="24"/>
                <w:szCs w:val="24"/>
                <w:lang w:val="en"/>
              </w:rPr>
            </w:pPr>
          </w:p>
          <w:p w14:paraId="139C26B1" w14:textId="20DD2E7F" w:rsidR="00BC5082" w:rsidRDefault="00BC5082" w:rsidP="00BC5082">
            <w:pPr>
              <w:jc w:val="both"/>
              <w:rPr>
                <w:rFonts w:ascii="Times New Roman" w:eastAsia="Times New Roman" w:hAnsi="Times New Roman" w:cs="Times New Roman"/>
                <w:sz w:val="24"/>
                <w:szCs w:val="24"/>
                <w:lang w:val="en"/>
              </w:rPr>
            </w:pPr>
            <w:r>
              <w:rPr>
                <w:rStyle w:val="Strong"/>
                <w:lang w:val="en"/>
              </w:rPr>
              <w:t>How this guideline was created</w:t>
            </w:r>
            <w:r>
              <w:rPr>
                <w:lang w:val="en"/>
              </w:rPr>
              <w:t xml:space="preserve"> A guideline panel including patients, clinicians, and methodologists produced this recommendation in adherence with standards for trustworthy guidelines and the GRADE system. The recommendation is based on two linked systematic reviews</w:t>
            </w:r>
          </w:p>
          <w:p w14:paraId="785C7356" w14:textId="77777777" w:rsidR="00BC5082" w:rsidRPr="00BC5082" w:rsidRDefault="00BC5082" w:rsidP="00BC5082">
            <w:pPr>
              <w:spacing w:before="100" w:beforeAutospacing="1" w:after="100" w:afterAutospacing="1"/>
              <w:outlineLvl w:val="1"/>
              <w:rPr>
                <w:rFonts w:ascii="Times New Roman" w:eastAsia="Times New Roman" w:hAnsi="Times New Roman" w:cs="Times New Roman"/>
                <w:b/>
                <w:bCs/>
                <w:sz w:val="36"/>
                <w:szCs w:val="36"/>
                <w:lang w:val="en"/>
              </w:rPr>
            </w:pPr>
            <w:r w:rsidRPr="00BC5082">
              <w:rPr>
                <w:rFonts w:ascii="Times New Roman" w:eastAsia="Times New Roman" w:hAnsi="Times New Roman" w:cs="Times New Roman"/>
                <w:b/>
                <w:bCs/>
                <w:sz w:val="36"/>
                <w:szCs w:val="36"/>
                <w:lang w:val="en"/>
              </w:rPr>
              <w:t>Abstract</w:t>
            </w:r>
          </w:p>
          <w:p w14:paraId="0DC19D56" w14:textId="77777777" w:rsidR="00BC5082" w:rsidRPr="00BC5082" w:rsidRDefault="00BC5082" w:rsidP="00BC5082">
            <w:pPr>
              <w:spacing w:before="100" w:beforeAutospacing="1" w:after="100" w:afterAutospacing="1"/>
              <w:rPr>
                <w:rFonts w:ascii="Times New Roman" w:eastAsia="Times New Roman" w:hAnsi="Times New Roman" w:cs="Times New Roman"/>
                <w:sz w:val="24"/>
                <w:szCs w:val="24"/>
                <w:lang w:val="en"/>
              </w:rPr>
            </w:pPr>
            <w:r w:rsidRPr="00BC5082">
              <w:rPr>
                <w:rFonts w:ascii="Times New Roman" w:eastAsia="Times New Roman" w:hAnsi="Times New Roman" w:cs="Times New Roman"/>
                <w:b/>
                <w:bCs/>
                <w:sz w:val="24"/>
                <w:szCs w:val="24"/>
                <w:lang w:val="en"/>
              </w:rPr>
              <w:t>Clinical question</w:t>
            </w:r>
            <w:r w:rsidRPr="00BC5082">
              <w:rPr>
                <w:rFonts w:ascii="Times New Roman" w:eastAsia="Times New Roman" w:hAnsi="Times New Roman" w:cs="Times New Roman"/>
                <w:sz w:val="24"/>
                <w:szCs w:val="24"/>
                <w:lang w:val="en"/>
              </w:rPr>
              <w:t xml:space="preserve"> Do adults with atraumatic shoulder pain for more than 3 months diagnosed as </w:t>
            </w:r>
            <w:proofErr w:type="spellStart"/>
            <w:r w:rsidRPr="00BC5082">
              <w:rPr>
                <w:rFonts w:ascii="Times New Roman" w:eastAsia="Times New Roman" w:hAnsi="Times New Roman" w:cs="Times New Roman"/>
                <w:sz w:val="24"/>
                <w:szCs w:val="24"/>
                <w:lang w:val="en"/>
              </w:rPr>
              <w:t>subacromial</w:t>
            </w:r>
            <w:proofErr w:type="spellEnd"/>
            <w:r w:rsidRPr="00BC5082">
              <w:rPr>
                <w:rFonts w:ascii="Times New Roman" w:eastAsia="Times New Roman" w:hAnsi="Times New Roman" w:cs="Times New Roman"/>
                <w:sz w:val="24"/>
                <w:szCs w:val="24"/>
                <w:lang w:val="en"/>
              </w:rPr>
              <w:t xml:space="preserve"> pain syndrome (SAPS), also labelled as rotator cuff disease, benefit from </w:t>
            </w:r>
            <w:proofErr w:type="spellStart"/>
            <w:r w:rsidRPr="00BC5082">
              <w:rPr>
                <w:rFonts w:ascii="Times New Roman" w:eastAsia="Times New Roman" w:hAnsi="Times New Roman" w:cs="Times New Roman"/>
                <w:sz w:val="24"/>
                <w:szCs w:val="24"/>
                <w:lang w:val="en"/>
              </w:rPr>
              <w:t>subacromial</w:t>
            </w:r>
            <w:proofErr w:type="spellEnd"/>
            <w:r w:rsidRPr="00BC5082">
              <w:rPr>
                <w:rFonts w:ascii="Times New Roman" w:eastAsia="Times New Roman" w:hAnsi="Times New Roman" w:cs="Times New Roman"/>
                <w:sz w:val="24"/>
                <w:szCs w:val="24"/>
                <w:lang w:val="en"/>
              </w:rPr>
              <w:t xml:space="preserve"> decompression surgery? This guideline builds on to two recent high quality trials of shoulder surgery.</w:t>
            </w:r>
          </w:p>
          <w:p w14:paraId="57BD9FB8" w14:textId="77777777" w:rsidR="00BC5082" w:rsidRPr="00BC5082" w:rsidRDefault="00BC5082" w:rsidP="00BC5082">
            <w:pPr>
              <w:spacing w:before="100" w:beforeAutospacing="1" w:after="100" w:afterAutospacing="1"/>
              <w:rPr>
                <w:rFonts w:ascii="Times New Roman" w:eastAsia="Times New Roman" w:hAnsi="Times New Roman" w:cs="Times New Roman"/>
                <w:sz w:val="24"/>
                <w:szCs w:val="24"/>
                <w:lang w:val="en"/>
              </w:rPr>
            </w:pPr>
            <w:r w:rsidRPr="00BC5082">
              <w:rPr>
                <w:rFonts w:ascii="Times New Roman" w:eastAsia="Times New Roman" w:hAnsi="Times New Roman" w:cs="Times New Roman"/>
                <w:b/>
                <w:bCs/>
                <w:sz w:val="24"/>
                <w:szCs w:val="24"/>
                <w:lang w:val="en"/>
              </w:rPr>
              <w:t>Current practice</w:t>
            </w:r>
            <w:r w:rsidRPr="00BC5082">
              <w:rPr>
                <w:rFonts w:ascii="Times New Roman" w:eastAsia="Times New Roman" w:hAnsi="Times New Roman" w:cs="Times New Roman"/>
                <w:sz w:val="24"/>
                <w:szCs w:val="24"/>
                <w:lang w:val="en"/>
              </w:rPr>
              <w:t xml:space="preserve"> SAPS is the common diagnosis for shoulder pain with several first line treatment options, including analgesia, exercises, and injections. Surgeons frequently perform arthroscopic </w:t>
            </w:r>
            <w:proofErr w:type="spellStart"/>
            <w:r w:rsidRPr="00BC5082">
              <w:rPr>
                <w:rFonts w:ascii="Times New Roman" w:eastAsia="Times New Roman" w:hAnsi="Times New Roman" w:cs="Times New Roman"/>
                <w:sz w:val="24"/>
                <w:szCs w:val="24"/>
                <w:lang w:val="en"/>
              </w:rPr>
              <w:t>subacromial</w:t>
            </w:r>
            <w:proofErr w:type="spellEnd"/>
            <w:r w:rsidRPr="00BC5082">
              <w:rPr>
                <w:rFonts w:ascii="Times New Roman" w:eastAsia="Times New Roman" w:hAnsi="Times New Roman" w:cs="Times New Roman"/>
                <w:sz w:val="24"/>
                <w:szCs w:val="24"/>
                <w:lang w:val="en"/>
              </w:rPr>
              <w:t xml:space="preserve"> decompression for prolonged symptoms, with guidelines providing conflicting recommendations.</w:t>
            </w:r>
          </w:p>
          <w:p w14:paraId="20A52785" w14:textId="77777777" w:rsidR="00BC5082" w:rsidRPr="00BC5082" w:rsidRDefault="00BC5082" w:rsidP="00BC5082">
            <w:pPr>
              <w:spacing w:before="100" w:beforeAutospacing="1" w:after="100" w:afterAutospacing="1"/>
              <w:rPr>
                <w:rFonts w:ascii="Times New Roman" w:eastAsia="Times New Roman" w:hAnsi="Times New Roman" w:cs="Times New Roman"/>
                <w:sz w:val="24"/>
                <w:szCs w:val="24"/>
                <w:lang w:val="en"/>
              </w:rPr>
            </w:pPr>
            <w:r w:rsidRPr="00BC5082">
              <w:rPr>
                <w:rFonts w:ascii="Times New Roman" w:eastAsia="Times New Roman" w:hAnsi="Times New Roman" w:cs="Times New Roman"/>
                <w:b/>
                <w:bCs/>
                <w:sz w:val="24"/>
                <w:szCs w:val="24"/>
                <w:lang w:val="en"/>
              </w:rPr>
              <w:t>Recommendation</w:t>
            </w:r>
            <w:r w:rsidRPr="00BC5082">
              <w:rPr>
                <w:rFonts w:ascii="Times New Roman" w:eastAsia="Times New Roman" w:hAnsi="Times New Roman" w:cs="Times New Roman"/>
                <w:sz w:val="24"/>
                <w:szCs w:val="24"/>
                <w:lang w:val="en"/>
              </w:rPr>
              <w:t xml:space="preserve"> </w:t>
            </w:r>
            <w:r w:rsidRPr="00BC5082">
              <w:rPr>
                <w:rFonts w:ascii="Times New Roman" w:eastAsia="Times New Roman" w:hAnsi="Times New Roman" w:cs="Times New Roman"/>
                <w:b/>
                <w:i/>
                <w:sz w:val="24"/>
                <w:szCs w:val="24"/>
                <w:lang w:val="en"/>
              </w:rPr>
              <w:t>The guideline panel makes a strong recommendation against surgery</w:t>
            </w:r>
            <w:r w:rsidRPr="00BC5082">
              <w:rPr>
                <w:rFonts w:ascii="Times New Roman" w:eastAsia="Times New Roman" w:hAnsi="Times New Roman" w:cs="Times New Roman"/>
                <w:sz w:val="24"/>
                <w:szCs w:val="24"/>
                <w:lang w:val="en"/>
              </w:rPr>
              <w:t>.</w:t>
            </w:r>
          </w:p>
          <w:p w14:paraId="14FB0BCE" w14:textId="1EFB7690" w:rsidR="00BC5082" w:rsidRPr="00BC5082" w:rsidRDefault="00BC5082" w:rsidP="00BC5082">
            <w:pPr>
              <w:jc w:val="both"/>
            </w:pPr>
          </w:p>
        </w:tc>
        <w:tc>
          <w:tcPr>
            <w:tcW w:w="2127" w:type="dxa"/>
          </w:tcPr>
          <w:p w14:paraId="7E009F18" w14:textId="77777777" w:rsidR="009432BC" w:rsidRDefault="009432BC">
            <w:pPr>
              <w:jc w:val="both"/>
            </w:pPr>
          </w:p>
        </w:tc>
      </w:tr>
    </w:tbl>
    <w:p w14:paraId="6CDAD0B7" w14:textId="77777777" w:rsidR="00604E4A" w:rsidRDefault="00604E4A">
      <w:pPr>
        <w:jc w:val="both"/>
        <w:rPr>
          <w:sz w:val="20"/>
          <w:szCs w:val="20"/>
        </w:rPr>
      </w:pPr>
    </w:p>
    <w:sectPr w:rsidR="00604E4A" w:rsidSect="00537EBD">
      <w:footerReference w:type="default" r:id="rId15"/>
      <w:pgSz w:w="11909" w:h="16834"/>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C6B3F" w14:textId="77777777" w:rsidR="001E4A28" w:rsidRDefault="001E4A28">
      <w:pPr>
        <w:spacing w:line="240" w:lineRule="auto"/>
      </w:pPr>
      <w:r>
        <w:separator/>
      </w:r>
    </w:p>
  </w:endnote>
  <w:endnote w:type="continuationSeparator" w:id="0">
    <w:p w14:paraId="0371A3B2" w14:textId="77777777" w:rsidR="001E4A28" w:rsidRDefault="001E4A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dvTTce2aec1c">
    <w:panose1 w:val="00000000000000000000"/>
    <w:charset w:val="00"/>
    <w:family w:val="roman"/>
    <w:notTrueType/>
    <w:pitch w:val="default"/>
    <w:sig w:usb0="00000003" w:usb1="00000000" w:usb2="00000000" w:usb3="00000000" w:csb0="00000001" w:csb1="00000000"/>
  </w:font>
  <w:font w:name="Normal400">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361435"/>
      <w:docPartObj>
        <w:docPartGallery w:val="Page Numbers (Bottom of Page)"/>
        <w:docPartUnique/>
      </w:docPartObj>
    </w:sdtPr>
    <w:sdtEndPr>
      <w:rPr>
        <w:noProof/>
      </w:rPr>
    </w:sdtEndPr>
    <w:sdtContent>
      <w:p w14:paraId="37DD8C15" w14:textId="4D2594D4" w:rsidR="00EC3658" w:rsidRDefault="00EC3658">
        <w:pPr>
          <w:pStyle w:val="Footer"/>
        </w:pPr>
        <w:r>
          <w:fldChar w:fldCharType="begin"/>
        </w:r>
        <w:r>
          <w:instrText xml:space="preserve"> PAGE   \* MERGEFORMAT </w:instrText>
        </w:r>
        <w:r>
          <w:fldChar w:fldCharType="separate"/>
        </w:r>
        <w:r w:rsidR="00241E46">
          <w:rPr>
            <w:noProof/>
          </w:rPr>
          <w:t>1</w:t>
        </w:r>
        <w:r>
          <w:rPr>
            <w:noProof/>
          </w:rPr>
          <w:fldChar w:fldCharType="end"/>
        </w:r>
      </w:p>
    </w:sdtContent>
  </w:sdt>
  <w:p w14:paraId="6673C6F2" w14:textId="070DCF7C" w:rsidR="00604E4A" w:rsidRDefault="00604E4A">
    <w:pP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B2477C" w14:textId="77777777" w:rsidR="001E4A28" w:rsidRDefault="001E4A28">
      <w:pPr>
        <w:spacing w:line="240" w:lineRule="auto"/>
      </w:pPr>
      <w:r>
        <w:separator/>
      </w:r>
    </w:p>
  </w:footnote>
  <w:footnote w:type="continuationSeparator" w:id="0">
    <w:p w14:paraId="4F1F4FFE" w14:textId="77777777" w:rsidR="001E4A28" w:rsidRDefault="001E4A2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9395C"/>
    <w:multiLevelType w:val="multilevel"/>
    <w:tmpl w:val="9468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4A"/>
    <w:rsid w:val="00131325"/>
    <w:rsid w:val="001541D5"/>
    <w:rsid w:val="001724ED"/>
    <w:rsid w:val="001E4A28"/>
    <w:rsid w:val="00237C44"/>
    <w:rsid w:val="00241E46"/>
    <w:rsid w:val="0025110F"/>
    <w:rsid w:val="003218A7"/>
    <w:rsid w:val="0032292A"/>
    <w:rsid w:val="004A3D34"/>
    <w:rsid w:val="00537EBD"/>
    <w:rsid w:val="00604E4A"/>
    <w:rsid w:val="00614D6A"/>
    <w:rsid w:val="00646791"/>
    <w:rsid w:val="00734DB6"/>
    <w:rsid w:val="007829E3"/>
    <w:rsid w:val="00903401"/>
    <w:rsid w:val="009432BC"/>
    <w:rsid w:val="009758B5"/>
    <w:rsid w:val="00A90FC9"/>
    <w:rsid w:val="00B90AB6"/>
    <w:rsid w:val="00BC5082"/>
    <w:rsid w:val="00C53EBC"/>
    <w:rsid w:val="00D33AB9"/>
    <w:rsid w:val="00EC3658"/>
    <w:rsid w:val="00F6481E"/>
    <w:rsid w:val="00FC7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3A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TableGrid">
    <w:name w:val="Table Grid"/>
    <w:basedOn w:val="TableNormal"/>
    <w:uiPriority w:val="59"/>
    <w:rsid w:val="009432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110F"/>
    <w:pPr>
      <w:tabs>
        <w:tab w:val="center" w:pos="4513"/>
        <w:tab w:val="right" w:pos="9026"/>
      </w:tabs>
      <w:spacing w:line="240" w:lineRule="auto"/>
    </w:pPr>
  </w:style>
  <w:style w:type="character" w:customStyle="1" w:styleId="HeaderChar">
    <w:name w:val="Header Char"/>
    <w:basedOn w:val="DefaultParagraphFont"/>
    <w:link w:val="Header"/>
    <w:uiPriority w:val="99"/>
    <w:rsid w:val="0025110F"/>
  </w:style>
  <w:style w:type="paragraph" w:styleId="Footer">
    <w:name w:val="footer"/>
    <w:basedOn w:val="Normal"/>
    <w:link w:val="FooterChar"/>
    <w:uiPriority w:val="99"/>
    <w:unhideWhenUsed/>
    <w:rsid w:val="0025110F"/>
    <w:pPr>
      <w:tabs>
        <w:tab w:val="center" w:pos="4513"/>
        <w:tab w:val="right" w:pos="9026"/>
      </w:tabs>
      <w:spacing w:line="240" w:lineRule="auto"/>
    </w:pPr>
  </w:style>
  <w:style w:type="character" w:customStyle="1" w:styleId="FooterChar">
    <w:name w:val="Footer Char"/>
    <w:basedOn w:val="DefaultParagraphFont"/>
    <w:link w:val="Footer"/>
    <w:uiPriority w:val="99"/>
    <w:rsid w:val="0025110F"/>
  </w:style>
  <w:style w:type="paragraph" w:styleId="NoSpacing">
    <w:name w:val="No Spacing"/>
    <w:link w:val="NoSpacingChar"/>
    <w:uiPriority w:val="1"/>
    <w:qFormat/>
    <w:rsid w:val="00537EBD"/>
    <w:pPr>
      <w:spacing w:line="240" w:lineRule="auto"/>
    </w:pPr>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537EBD"/>
    <w:rPr>
      <w:rFonts w:asciiTheme="minorHAnsi" w:eastAsiaTheme="minorEastAsia" w:hAnsiTheme="minorHAnsi" w:cstheme="minorBidi"/>
      <w:lang w:val="en-US" w:eastAsia="ja-JP"/>
    </w:rPr>
  </w:style>
  <w:style w:type="paragraph" w:styleId="BalloonText">
    <w:name w:val="Balloon Text"/>
    <w:basedOn w:val="Normal"/>
    <w:link w:val="BalloonTextChar"/>
    <w:uiPriority w:val="99"/>
    <w:semiHidden/>
    <w:unhideWhenUsed/>
    <w:rsid w:val="00537E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EBD"/>
    <w:rPr>
      <w:rFonts w:ascii="Tahoma" w:hAnsi="Tahoma" w:cs="Tahoma"/>
      <w:sz w:val="16"/>
      <w:szCs w:val="16"/>
    </w:rPr>
  </w:style>
  <w:style w:type="character" w:styleId="Hyperlink">
    <w:name w:val="Hyperlink"/>
    <w:basedOn w:val="DefaultParagraphFont"/>
    <w:uiPriority w:val="99"/>
    <w:unhideWhenUsed/>
    <w:rsid w:val="004A3D34"/>
    <w:rPr>
      <w:color w:val="0000FF" w:themeColor="hyperlink"/>
      <w:u w:val="single"/>
    </w:rPr>
  </w:style>
  <w:style w:type="paragraph" w:styleId="NormalWeb">
    <w:name w:val="Normal (Web)"/>
    <w:basedOn w:val="Normal"/>
    <w:uiPriority w:val="99"/>
    <w:semiHidden/>
    <w:unhideWhenUsed/>
    <w:rsid w:val="00A90FC9"/>
    <w:pPr>
      <w:spacing w:after="360" w:line="384" w:lineRule="atLeast"/>
    </w:pPr>
    <w:rPr>
      <w:rFonts w:ascii="Times New Roman" w:eastAsia="Times New Roman" w:hAnsi="Times New Roman" w:cs="Times New Roman"/>
      <w:sz w:val="24"/>
      <w:szCs w:val="24"/>
    </w:rPr>
  </w:style>
  <w:style w:type="character" w:styleId="Strong">
    <w:name w:val="Strong"/>
    <w:basedOn w:val="DefaultParagraphFont"/>
    <w:uiPriority w:val="22"/>
    <w:qFormat/>
    <w:rsid w:val="00BC50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TableGrid">
    <w:name w:val="Table Grid"/>
    <w:basedOn w:val="TableNormal"/>
    <w:uiPriority w:val="59"/>
    <w:rsid w:val="009432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110F"/>
    <w:pPr>
      <w:tabs>
        <w:tab w:val="center" w:pos="4513"/>
        <w:tab w:val="right" w:pos="9026"/>
      </w:tabs>
      <w:spacing w:line="240" w:lineRule="auto"/>
    </w:pPr>
  </w:style>
  <w:style w:type="character" w:customStyle="1" w:styleId="HeaderChar">
    <w:name w:val="Header Char"/>
    <w:basedOn w:val="DefaultParagraphFont"/>
    <w:link w:val="Header"/>
    <w:uiPriority w:val="99"/>
    <w:rsid w:val="0025110F"/>
  </w:style>
  <w:style w:type="paragraph" w:styleId="Footer">
    <w:name w:val="footer"/>
    <w:basedOn w:val="Normal"/>
    <w:link w:val="FooterChar"/>
    <w:uiPriority w:val="99"/>
    <w:unhideWhenUsed/>
    <w:rsid w:val="0025110F"/>
    <w:pPr>
      <w:tabs>
        <w:tab w:val="center" w:pos="4513"/>
        <w:tab w:val="right" w:pos="9026"/>
      </w:tabs>
      <w:spacing w:line="240" w:lineRule="auto"/>
    </w:pPr>
  </w:style>
  <w:style w:type="character" w:customStyle="1" w:styleId="FooterChar">
    <w:name w:val="Footer Char"/>
    <w:basedOn w:val="DefaultParagraphFont"/>
    <w:link w:val="Footer"/>
    <w:uiPriority w:val="99"/>
    <w:rsid w:val="0025110F"/>
  </w:style>
  <w:style w:type="paragraph" w:styleId="NoSpacing">
    <w:name w:val="No Spacing"/>
    <w:link w:val="NoSpacingChar"/>
    <w:uiPriority w:val="1"/>
    <w:qFormat/>
    <w:rsid w:val="00537EBD"/>
    <w:pPr>
      <w:spacing w:line="240" w:lineRule="auto"/>
    </w:pPr>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537EBD"/>
    <w:rPr>
      <w:rFonts w:asciiTheme="minorHAnsi" w:eastAsiaTheme="minorEastAsia" w:hAnsiTheme="minorHAnsi" w:cstheme="minorBidi"/>
      <w:lang w:val="en-US" w:eastAsia="ja-JP"/>
    </w:rPr>
  </w:style>
  <w:style w:type="paragraph" w:styleId="BalloonText">
    <w:name w:val="Balloon Text"/>
    <w:basedOn w:val="Normal"/>
    <w:link w:val="BalloonTextChar"/>
    <w:uiPriority w:val="99"/>
    <w:semiHidden/>
    <w:unhideWhenUsed/>
    <w:rsid w:val="00537E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EBD"/>
    <w:rPr>
      <w:rFonts w:ascii="Tahoma" w:hAnsi="Tahoma" w:cs="Tahoma"/>
      <w:sz w:val="16"/>
      <w:szCs w:val="16"/>
    </w:rPr>
  </w:style>
  <w:style w:type="character" w:styleId="Hyperlink">
    <w:name w:val="Hyperlink"/>
    <w:basedOn w:val="DefaultParagraphFont"/>
    <w:uiPriority w:val="99"/>
    <w:unhideWhenUsed/>
    <w:rsid w:val="004A3D34"/>
    <w:rPr>
      <w:color w:val="0000FF" w:themeColor="hyperlink"/>
      <w:u w:val="single"/>
    </w:rPr>
  </w:style>
  <w:style w:type="paragraph" w:styleId="NormalWeb">
    <w:name w:val="Normal (Web)"/>
    <w:basedOn w:val="Normal"/>
    <w:uiPriority w:val="99"/>
    <w:semiHidden/>
    <w:unhideWhenUsed/>
    <w:rsid w:val="00A90FC9"/>
    <w:pPr>
      <w:spacing w:after="360" w:line="384" w:lineRule="atLeast"/>
    </w:pPr>
    <w:rPr>
      <w:rFonts w:ascii="Times New Roman" w:eastAsia="Times New Roman" w:hAnsi="Times New Roman" w:cs="Times New Roman"/>
      <w:sz w:val="24"/>
      <w:szCs w:val="24"/>
    </w:rPr>
  </w:style>
  <w:style w:type="character" w:styleId="Strong">
    <w:name w:val="Strong"/>
    <w:basedOn w:val="DefaultParagraphFont"/>
    <w:uiPriority w:val="22"/>
    <w:qFormat/>
    <w:rsid w:val="00BC50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0843">
      <w:bodyDiv w:val="1"/>
      <w:marLeft w:val="0"/>
      <w:marRight w:val="0"/>
      <w:marTop w:val="0"/>
      <w:marBottom w:val="0"/>
      <w:divBdr>
        <w:top w:val="none" w:sz="0" w:space="0" w:color="auto"/>
        <w:left w:val="none" w:sz="0" w:space="0" w:color="auto"/>
        <w:bottom w:val="none" w:sz="0" w:space="0" w:color="auto"/>
        <w:right w:val="none" w:sz="0" w:space="0" w:color="auto"/>
      </w:divBdr>
      <w:divsChild>
        <w:div w:id="235743425">
          <w:marLeft w:val="0"/>
          <w:marRight w:val="0"/>
          <w:marTop w:val="0"/>
          <w:marBottom w:val="0"/>
          <w:divBdr>
            <w:top w:val="none" w:sz="0" w:space="0" w:color="auto"/>
            <w:left w:val="none" w:sz="0" w:space="0" w:color="auto"/>
            <w:bottom w:val="none" w:sz="0" w:space="0" w:color="auto"/>
            <w:right w:val="none" w:sz="0" w:space="0" w:color="auto"/>
          </w:divBdr>
          <w:divsChild>
            <w:div w:id="831724182">
              <w:marLeft w:val="0"/>
              <w:marRight w:val="0"/>
              <w:marTop w:val="0"/>
              <w:marBottom w:val="0"/>
              <w:divBdr>
                <w:top w:val="none" w:sz="0" w:space="0" w:color="auto"/>
                <w:left w:val="none" w:sz="0" w:space="0" w:color="auto"/>
                <w:bottom w:val="none" w:sz="0" w:space="0" w:color="auto"/>
                <w:right w:val="none" w:sz="0" w:space="0" w:color="auto"/>
              </w:divBdr>
              <w:divsChild>
                <w:div w:id="1676885244">
                  <w:marLeft w:val="0"/>
                  <w:marRight w:val="0"/>
                  <w:marTop w:val="0"/>
                  <w:marBottom w:val="0"/>
                  <w:divBdr>
                    <w:top w:val="none" w:sz="0" w:space="0" w:color="auto"/>
                    <w:left w:val="none" w:sz="0" w:space="0" w:color="auto"/>
                    <w:bottom w:val="none" w:sz="0" w:space="0" w:color="auto"/>
                    <w:right w:val="none" w:sz="0" w:space="0" w:color="auto"/>
                  </w:divBdr>
                  <w:divsChild>
                    <w:div w:id="815025453">
                      <w:marLeft w:val="0"/>
                      <w:marRight w:val="0"/>
                      <w:marTop w:val="0"/>
                      <w:marBottom w:val="0"/>
                      <w:divBdr>
                        <w:top w:val="none" w:sz="0" w:space="0" w:color="auto"/>
                        <w:left w:val="none" w:sz="0" w:space="0" w:color="auto"/>
                        <w:bottom w:val="none" w:sz="0" w:space="0" w:color="auto"/>
                        <w:right w:val="none" w:sz="0" w:space="0" w:color="auto"/>
                      </w:divBdr>
                      <w:divsChild>
                        <w:div w:id="1291135377">
                          <w:marLeft w:val="0"/>
                          <w:marRight w:val="0"/>
                          <w:marTop w:val="0"/>
                          <w:marBottom w:val="0"/>
                          <w:divBdr>
                            <w:top w:val="none" w:sz="0" w:space="0" w:color="auto"/>
                            <w:left w:val="none" w:sz="0" w:space="0" w:color="auto"/>
                            <w:bottom w:val="none" w:sz="0" w:space="0" w:color="auto"/>
                            <w:right w:val="none" w:sz="0" w:space="0" w:color="auto"/>
                          </w:divBdr>
                          <w:divsChild>
                            <w:div w:id="1086265534">
                              <w:marLeft w:val="0"/>
                              <w:marRight w:val="0"/>
                              <w:marTop w:val="0"/>
                              <w:marBottom w:val="0"/>
                              <w:divBdr>
                                <w:top w:val="none" w:sz="0" w:space="0" w:color="auto"/>
                                <w:left w:val="none" w:sz="0" w:space="0" w:color="auto"/>
                                <w:bottom w:val="none" w:sz="0" w:space="0" w:color="auto"/>
                                <w:right w:val="none" w:sz="0" w:space="0" w:color="auto"/>
                              </w:divBdr>
                              <w:divsChild>
                                <w:div w:id="755713884">
                                  <w:marLeft w:val="0"/>
                                  <w:marRight w:val="0"/>
                                  <w:marTop w:val="0"/>
                                  <w:marBottom w:val="0"/>
                                  <w:divBdr>
                                    <w:top w:val="none" w:sz="0" w:space="0" w:color="auto"/>
                                    <w:left w:val="none" w:sz="0" w:space="0" w:color="auto"/>
                                    <w:bottom w:val="none" w:sz="0" w:space="0" w:color="auto"/>
                                    <w:right w:val="none" w:sz="0" w:space="0" w:color="auto"/>
                                  </w:divBdr>
                                  <w:divsChild>
                                    <w:div w:id="683870910">
                                      <w:marLeft w:val="0"/>
                                      <w:marRight w:val="0"/>
                                      <w:marTop w:val="0"/>
                                      <w:marBottom w:val="0"/>
                                      <w:divBdr>
                                        <w:top w:val="none" w:sz="0" w:space="0" w:color="auto"/>
                                        <w:left w:val="none" w:sz="0" w:space="0" w:color="auto"/>
                                        <w:bottom w:val="none" w:sz="0" w:space="0" w:color="auto"/>
                                        <w:right w:val="none" w:sz="0" w:space="0" w:color="auto"/>
                                      </w:divBdr>
                                      <w:divsChild>
                                        <w:div w:id="524364227">
                                          <w:marLeft w:val="0"/>
                                          <w:marRight w:val="0"/>
                                          <w:marTop w:val="0"/>
                                          <w:marBottom w:val="0"/>
                                          <w:divBdr>
                                            <w:top w:val="none" w:sz="0" w:space="0" w:color="auto"/>
                                            <w:left w:val="none" w:sz="0" w:space="0" w:color="auto"/>
                                            <w:bottom w:val="none" w:sz="0" w:space="0" w:color="auto"/>
                                            <w:right w:val="none" w:sz="0" w:space="0" w:color="auto"/>
                                          </w:divBdr>
                                          <w:divsChild>
                                            <w:div w:id="1259748504">
                                              <w:marLeft w:val="0"/>
                                              <w:marRight w:val="0"/>
                                              <w:marTop w:val="0"/>
                                              <w:marBottom w:val="0"/>
                                              <w:divBdr>
                                                <w:top w:val="none" w:sz="0" w:space="0" w:color="auto"/>
                                                <w:left w:val="none" w:sz="0" w:space="0" w:color="auto"/>
                                                <w:bottom w:val="none" w:sz="0" w:space="0" w:color="auto"/>
                                                <w:right w:val="none" w:sz="0" w:space="0" w:color="auto"/>
                                              </w:divBdr>
                                              <w:divsChild>
                                                <w:div w:id="9801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9337893">
      <w:bodyDiv w:val="1"/>
      <w:marLeft w:val="0"/>
      <w:marRight w:val="0"/>
      <w:marTop w:val="0"/>
      <w:marBottom w:val="0"/>
      <w:divBdr>
        <w:top w:val="none" w:sz="0" w:space="0" w:color="auto"/>
        <w:left w:val="none" w:sz="0" w:space="0" w:color="auto"/>
        <w:bottom w:val="none" w:sz="0" w:space="0" w:color="auto"/>
        <w:right w:val="none" w:sz="0" w:space="0" w:color="auto"/>
      </w:divBdr>
      <w:divsChild>
        <w:div w:id="623925225">
          <w:marLeft w:val="0"/>
          <w:marRight w:val="0"/>
          <w:marTop w:val="0"/>
          <w:marBottom w:val="0"/>
          <w:divBdr>
            <w:top w:val="none" w:sz="0" w:space="0" w:color="auto"/>
            <w:left w:val="none" w:sz="0" w:space="0" w:color="auto"/>
            <w:bottom w:val="none" w:sz="0" w:space="0" w:color="auto"/>
            <w:right w:val="none" w:sz="0" w:space="0" w:color="auto"/>
          </w:divBdr>
          <w:divsChild>
            <w:div w:id="842013115">
              <w:marLeft w:val="0"/>
              <w:marRight w:val="0"/>
              <w:marTop w:val="0"/>
              <w:marBottom w:val="0"/>
              <w:divBdr>
                <w:top w:val="none" w:sz="0" w:space="0" w:color="auto"/>
                <w:left w:val="none" w:sz="0" w:space="0" w:color="auto"/>
                <w:bottom w:val="none" w:sz="0" w:space="0" w:color="auto"/>
                <w:right w:val="none" w:sz="0" w:space="0" w:color="auto"/>
              </w:divBdr>
              <w:divsChild>
                <w:div w:id="969938987">
                  <w:marLeft w:val="0"/>
                  <w:marRight w:val="0"/>
                  <w:marTop w:val="0"/>
                  <w:marBottom w:val="0"/>
                  <w:divBdr>
                    <w:top w:val="none" w:sz="0" w:space="0" w:color="auto"/>
                    <w:left w:val="none" w:sz="0" w:space="0" w:color="auto"/>
                    <w:bottom w:val="none" w:sz="0" w:space="0" w:color="auto"/>
                    <w:right w:val="none" w:sz="0" w:space="0" w:color="auto"/>
                  </w:divBdr>
                  <w:divsChild>
                    <w:div w:id="1699547335">
                      <w:marLeft w:val="0"/>
                      <w:marRight w:val="0"/>
                      <w:marTop w:val="0"/>
                      <w:marBottom w:val="0"/>
                      <w:divBdr>
                        <w:top w:val="none" w:sz="0" w:space="0" w:color="auto"/>
                        <w:left w:val="none" w:sz="0" w:space="0" w:color="auto"/>
                        <w:bottom w:val="none" w:sz="0" w:space="0" w:color="auto"/>
                        <w:right w:val="none" w:sz="0" w:space="0" w:color="auto"/>
                      </w:divBdr>
                      <w:divsChild>
                        <w:div w:id="32852316">
                          <w:marLeft w:val="0"/>
                          <w:marRight w:val="0"/>
                          <w:marTop w:val="0"/>
                          <w:marBottom w:val="0"/>
                          <w:divBdr>
                            <w:top w:val="none" w:sz="0" w:space="0" w:color="auto"/>
                            <w:left w:val="none" w:sz="0" w:space="0" w:color="auto"/>
                            <w:bottom w:val="none" w:sz="0" w:space="0" w:color="auto"/>
                            <w:right w:val="none" w:sz="0" w:space="0" w:color="auto"/>
                          </w:divBdr>
                          <w:divsChild>
                            <w:div w:id="853764283">
                              <w:marLeft w:val="0"/>
                              <w:marRight w:val="0"/>
                              <w:marTop w:val="0"/>
                              <w:marBottom w:val="0"/>
                              <w:divBdr>
                                <w:top w:val="none" w:sz="0" w:space="0" w:color="auto"/>
                                <w:left w:val="none" w:sz="0" w:space="0" w:color="auto"/>
                                <w:bottom w:val="none" w:sz="0" w:space="0" w:color="auto"/>
                                <w:right w:val="none" w:sz="0" w:space="0" w:color="auto"/>
                              </w:divBdr>
                              <w:divsChild>
                                <w:div w:id="1324817441">
                                  <w:marLeft w:val="0"/>
                                  <w:marRight w:val="0"/>
                                  <w:marTop w:val="0"/>
                                  <w:marBottom w:val="0"/>
                                  <w:divBdr>
                                    <w:top w:val="none" w:sz="0" w:space="0" w:color="auto"/>
                                    <w:left w:val="none" w:sz="0" w:space="0" w:color="auto"/>
                                    <w:bottom w:val="none" w:sz="0" w:space="0" w:color="auto"/>
                                    <w:right w:val="none" w:sz="0" w:space="0" w:color="auto"/>
                                  </w:divBdr>
                                  <w:divsChild>
                                    <w:div w:id="794643390">
                                      <w:marLeft w:val="0"/>
                                      <w:marRight w:val="0"/>
                                      <w:marTop w:val="0"/>
                                      <w:marBottom w:val="0"/>
                                      <w:divBdr>
                                        <w:top w:val="none" w:sz="0" w:space="0" w:color="auto"/>
                                        <w:left w:val="none" w:sz="0" w:space="0" w:color="auto"/>
                                        <w:bottom w:val="none" w:sz="0" w:space="0" w:color="auto"/>
                                        <w:right w:val="none" w:sz="0" w:space="0" w:color="auto"/>
                                      </w:divBdr>
                                      <w:divsChild>
                                        <w:div w:id="1577324626">
                                          <w:marLeft w:val="0"/>
                                          <w:marRight w:val="0"/>
                                          <w:marTop w:val="0"/>
                                          <w:marBottom w:val="0"/>
                                          <w:divBdr>
                                            <w:top w:val="none" w:sz="0" w:space="0" w:color="auto"/>
                                            <w:left w:val="none" w:sz="0" w:space="0" w:color="auto"/>
                                            <w:bottom w:val="none" w:sz="0" w:space="0" w:color="auto"/>
                                            <w:right w:val="none" w:sz="0" w:space="0" w:color="auto"/>
                                          </w:divBdr>
                                          <w:divsChild>
                                            <w:div w:id="1008754183">
                                              <w:marLeft w:val="0"/>
                                              <w:marRight w:val="0"/>
                                              <w:marTop w:val="0"/>
                                              <w:marBottom w:val="0"/>
                                              <w:divBdr>
                                                <w:top w:val="none" w:sz="0" w:space="0" w:color="auto"/>
                                                <w:left w:val="none" w:sz="0" w:space="0" w:color="auto"/>
                                                <w:bottom w:val="none" w:sz="0" w:space="0" w:color="auto"/>
                                                <w:right w:val="none" w:sz="0" w:space="0" w:color="auto"/>
                                              </w:divBdr>
                                              <w:divsChild>
                                                <w:div w:id="1339961519">
                                                  <w:marLeft w:val="0"/>
                                                  <w:marRight w:val="0"/>
                                                  <w:marTop w:val="0"/>
                                                  <w:marBottom w:val="0"/>
                                                  <w:divBdr>
                                                    <w:top w:val="none" w:sz="0" w:space="0" w:color="auto"/>
                                                    <w:left w:val="none" w:sz="0" w:space="0" w:color="auto"/>
                                                    <w:bottom w:val="none" w:sz="0" w:space="0" w:color="auto"/>
                                                    <w:right w:val="none" w:sz="0" w:space="0" w:color="auto"/>
                                                  </w:divBdr>
                                                  <w:divsChild>
                                                    <w:div w:id="1915625359">
                                                      <w:marLeft w:val="0"/>
                                                      <w:marRight w:val="0"/>
                                                      <w:marTop w:val="0"/>
                                                      <w:marBottom w:val="0"/>
                                                      <w:divBdr>
                                                        <w:top w:val="none" w:sz="0" w:space="0" w:color="auto"/>
                                                        <w:left w:val="none" w:sz="0" w:space="0" w:color="auto"/>
                                                        <w:bottom w:val="none" w:sz="0" w:space="0" w:color="auto"/>
                                                        <w:right w:val="none" w:sz="0" w:space="0" w:color="auto"/>
                                                      </w:divBdr>
                                                      <w:divsChild>
                                                        <w:div w:id="1146434760">
                                                          <w:marLeft w:val="0"/>
                                                          <w:marRight w:val="0"/>
                                                          <w:marTop w:val="0"/>
                                                          <w:marBottom w:val="0"/>
                                                          <w:divBdr>
                                                            <w:top w:val="none" w:sz="0" w:space="0" w:color="auto"/>
                                                            <w:left w:val="none" w:sz="0" w:space="0" w:color="auto"/>
                                                            <w:bottom w:val="none" w:sz="0" w:space="0" w:color="auto"/>
                                                            <w:right w:val="none" w:sz="0" w:space="0" w:color="auto"/>
                                                          </w:divBdr>
                                                          <w:divsChild>
                                                            <w:div w:id="876700367">
                                                              <w:marLeft w:val="0"/>
                                                              <w:marRight w:val="0"/>
                                                              <w:marTop w:val="0"/>
                                                              <w:marBottom w:val="0"/>
                                                              <w:divBdr>
                                                                <w:top w:val="none" w:sz="0" w:space="0" w:color="auto"/>
                                                                <w:left w:val="none" w:sz="0" w:space="0" w:color="auto"/>
                                                                <w:bottom w:val="none" w:sz="0" w:space="0" w:color="auto"/>
                                                                <w:right w:val="none" w:sz="0" w:space="0" w:color="auto"/>
                                                              </w:divBdr>
                                                              <w:divsChild>
                                                                <w:div w:id="755588681">
                                                                  <w:marLeft w:val="0"/>
                                                                  <w:marRight w:val="0"/>
                                                                  <w:marTop w:val="0"/>
                                                                  <w:marBottom w:val="0"/>
                                                                  <w:divBdr>
                                                                    <w:top w:val="none" w:sz="0" w:space="0" w:color="auto"/>
                                                                    <w:left w:val="none" w:sz="0" w:space="0" w:color="auto"/>
                                                                    <w:bottom w:val="none" w:sz="0" w:space="0" w:color="auto"/>
                                                                    <w:right w:val="none" w:sz="0" w:space="0" w:color="auto"/>
                                                                  </w:divBdr>
                                                                  <w:divsChild>
                                                                    <w:div w:id="245189725">
                                                                      <w:marLeft w:val="0"/>
                                                                      <w:marRight w:val="0"/>
                                                                      <w:marTop w:val="0"/>
                                                                      <w:marBottom w:val="0"/>
                                                                      <w:divBdr>
                                                                        <w:top w:val="none" w:sz="0" w:space="0" w:color="auto"/>
                                                                        <w:left w:val="none" w:sz="0" w:space="0" w:color="auto"/>
                                                                        <w:bottom w:val="none" w:sz="0" w:space="0" w:color="auto"/>
                                                                        <w:right w:val="none" w:sz="0" w:space="0" w:color="auto"/>
                                                                      </w:divBdr>
                                                                      <w:divsChild>
                                                                        <w:div w:id="1149252792">
                                                                          <w:marLeft w:val="0"/>
                                                                          <w:marRight w:val="0"/>
                                                                          <w:marTop w:val="0"/>
                                                                          <w:marBottom w:val="0"/>
                                                                          <w:divBdr>
                                                                            <w:top w:val="none" w:sz="0" w:space="0" w:color="auto"/>
                                                                            <w:left w:val="none" w:sz="0" w:space="0" w:color="auto"/>
                                                                            <w:bottom w:val="none" w:sz="0" w:space="0" w:color="auto"/>
                                                                            <w:right w:val="none" w:sz="0" w:space="0" w:color="auto"/>
                                                                          </w:divBdr>
                                                                          <w:divsChild>
                                                                            <w:div w:id="891383350">
                                                                              <w:marLeft w:val="0"/>
                                                                              <w:marRight w:val="0"/>
                                                                              <w:marTop w:val="0"/>
                                                                              <w:marBottom w:val="0"/>
                                                                              <w:divBdr>
                                                                                <w:top w:val="none" w:sz="0" w:space="0" w:color="auto"/>
                                                                                <w:left w:val="none" w:sz="0" w:space="0" w:color="auto"/>
                                                                                <w:bottom w:val="none" w:sz="0" w:space="0" w:color="auto"/>
                                                                                <w:right w:val="none" w:sz="0" w:space="0" w:color="auto"/>
                                                                              </w:divBdr>
                                                                              <w:divsChild>
                                                                                <w:div w:id="1707557404">
                                                                                  <w:marLeft w:val="0"/>
                                                                                  <w:marRight w:val="0"/>
                                                                                  <w:marTop w:val="0"/>
                                                                                  <w:marBottom w:val="0"/>
                                                                                  <w:divBdr>
                                                                                    <w:top w:val="none" w:sz="0" w:space="0" w:color="auto"/>
                                                                                    <w:left w:val="none" w:sz="0" w:space="0" w:color="auto"/>
                                                                                    <w:bottom w:val="none" w:sz="0" w:space="0" w:color="auto"/>
                                                                                    <w:right w:val="none" w:sz="0" w:space="0" w:color="auto"/>
                                                                                  </w:divBdr>
                                                                                  <w:divsChild>
                                                                                    <w:div w:id="1355883862">
                                                                                      <w:marLeft w:val="0"/>
                                                                                      <w:marRight w:val="0"/>
                                                                                      <w:marTop w:val="0"/>
                                                                                      <w:marBottom w:val="0"/>
                                                                                      <w:divBdr>
                                                                                        <w:top w:val="none" w:sz="0" w:space="0" w:color="auto"/>
                                                                                        <w:left w:val="none" w:sz="0" w:space="0" w:color="auto"/>
                                                                                        <w:bottom w:val="none" w:sz="0" w:space="0" w:color="auto"/>
                                                                                        <w:right w:val="none" w:sz="0" w:space="0" w:color="auto"/>
                                                                                      </w:divBdr>
                                                                                      <w:divsChild>
                                                                                        <w:div w:id="138496434">
                                                                                          <w:marLeft w:val="0"/>
                                                                                          <w:marRight w:val="0"/>
                                                                                          <w:marTop w:val="0"/>
                                                                                          <w:marBottom w:val="0"/>
                                                                                          <w:divBdr>
                                                                                            <w:top w:val="none" w:sz="0" w:space="0" w:color="auto"/>
                                                                                            <w:left w:val="none" w:sz="0" w:space="0" w:color="auto"/>
                                                                                            <w:bottom w:val="none" w:sz="0" w:space="0" w:color="auto"/>
                                                                                            <w:right w:val="none" w:sz="0" w:space="0" w:color="auto"/>
                                                                                          </w:divBdr>
                                                                                          <w:divsChild>
                                                                                            <w:div w:id="469784987">
                                                                                              <w:marLeft w:val="0"/>
                                                                                              <w:marRight w:val="0"/>
                                                                                              <w:marTop w:val="0"/>
                                                                                              <w:marBottom w:val="0"/>
                                                                                              <w:divBdr>
                                                                                                <w:top w:val="none" w:sz="0" w:space="0" w:color="auto"/>
                                                                                                <w:left w:val="none" w:sz="0" w:space="0" w:color="auto"/>
                                                                                                <w:bottom w:val="none" w:sz="0" w:space="0" w:color="auto"/>
                                                                                                <w:right w:val="none" w:sz="0" w:space="0" w:color="auto"/>
                                                                                              </w:divBdr>
                                                                                            </w:div>
                                                                                            <w:div w:id="526793321">
                                                                                              <w:marLeft w:val="0"/>
                                                                                              <w:marRight w:val="0"/>
                                                                                              <w:marTop w:val="0"/>
                                                                                              <w:marBottom w:val="0"/>
                                                                                              <w:divBdr>
                                                                                                <w:top w:val="none" w:sz="0" w:space="0" w:color="auto"/>
                                                                                                <w:left w:val="none" w:sz="0" w:space="0" w:color="auto"/>
                                                                                                <w:bottom w:val="none" w:sz="0" w:space="0" w:color="auto"/>
                                                                                                <w:right w:val="none" w:sz="0" w:space="0" w:color="auto"/>
                                                                                              </w:divBdr>
                                                                                            </w:div>
                                                                                            <w:div w:id="16922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3143106">
      <w:bodyDiv w:val="1"/>
      <w:marLeft w:val="0"/>
      <w:marRight w:val="0"/>
      <w:marTop w:val="0"/>
      <w:marBottom w:val="0"/>
      <w:divBdr>
        <w:top w:val="none" w:sz="0" w:space="0" w:color="auto"/>
        <w:left w:val="none" w:sz="0" w:space="0" w:color="auto"/>
        <w:bottom w:val="none" w:sz="0" w:space="0" w:color="auto"/>
        <w:right w:val="none" w:sz="0" w:space="0" w:color="auto"/>
      </w:divBdr>
      <w:divsChild>
        <w:div w:id="1024676866">
          <w:marLeft w:val="0"/>
          <w:marRight w:val="0"/>
          <w:marTop w:val="0"/>
          <w:marBottom w:val="0"/>
          <w:divBdr>
            <w:top w:val="none" w:sz="0" w:space="0" w:color="auto"/>
            <w:left w:val="none" w:sz="0" w:space="0" w:color="auto"/>
            <w:bottom w:val="none" w:sz="0" w:space="0" w:color="auto"/>
            <w:right w:val="none" w:sz="0" w:space="0" w:color="auto"/>
          </w:divBdr>
          <w:divsChild>
            <w:div w:id="1833715572">
              <w:marLeft w:val="0"/>
              <w:marRight w:val="0"/>
              <w:marTop w:val="0"/>
              <w:marBottom w:val="0"/>
              <w:divBdr>
                <w:top w:val="none" w:sz="0" w:space="0" w:color="auto"/>
                <w:left w:val="none" w:sz="0" w:space="0" w:color="auto"/>
                <w:bottom w:val="none" w:sz="0" w:space="0" w:color="auto"/>
                <w:right w:val="none" w:sz="0" w:space="0" w:color="auto"/>
              </w:divBdr>
              <w:divsChild>
                <w:div w:id="966740052">
                  <w:marLeft w:val="0"/>
                  <w:marRight w:val="0"/>
                  <w:marTop w:val="0"/>
                  <w:marBottom w:val="0"/>
                  <w:divBdr>
                    <w:top w:val="none" w:sz="0" w:space="0" w:color="auto"/>
                    <w:left w:val="none" w:sz="0" w:space="0" w:color="auto"/>
                    <w:bottom w:val="none" w:sz="0" w:space="0" w:color="auto"/>
                    <w:right w:val="none" w:sz="0" w:space="0" w:color="auto"/>
                  </w:divBdr>
                  <w:divsChild>
                    <w:div w:id="1249584913">
                      <w:marLeft w:val="0"/>
                      <w:marRight w:val="0"/>
                      <w:marTop w:val="0"/>
                      <w:marBottom w:val="0"/>
                      <w:divBdr>
                        <w:top w:val="none" w:sz="0" w:space="0" w:color="auto"/>
                        <w:left w:val="none" w:sz="0" w:space="0" w:color="auto"/>
                        <w:bottom w:val="none" w:sz="0" w:space="0" w:color="auto"/>
                        <w:right w:val="none" w:sz="0" w:space="0" w:color="auto"/>
                      </w:divBdr>
                      <w:divsChild>
                        <w:div w:id="2146191243">
                          <w:marLeft w:val="0"/>
                          <w:marRight w:val="0"/>
                          <w:marTop w:val="0"/>
                          <w:marBottom w:val="0"/>
                          <w:divBdr>
                            <w:top w:val="none" w:sz="0" w:space="0" w:color="auto"/>
                            <w:left w:val="none" w:sz="0" w:space="0" w:color="auto"/>
                            <w:bottom w:val="none" w:sz="0" w:space="0" w:color="auto"/>
                            <w:right w:val="none" w:sz="0" w:space="0" w:color="auto"/>
                          </w:divBdr>
                          <w:divsChild>
                            <w:div w:id="1690789595">
                              <w:marLeft w:val="0"/>
                              <w:marRight w:val="0"/>
                              <w:marTop w:val="0"/>
                              <w:marBottom w:val="0"/>
                              <w:divBdr>
                                <w:top w:val="none" w:sz="0" w:space="0" w:color="auto"/>
                                <w:left w:val="none" w:sz="0" w:space="0" w:color="auto"/>
                                <w:bottom w:val="none" w:sz="0" w:space="0" w:color="auto"/>
                                <w:right w:val="none" w:sz="0" w:space="0" w:color="auto"/>
                              </w:divBdr>
                              <w:divsChild>
                                <w:div w:id="1204556123">
                                  <w:marLeft w:val="-225"/>
                                  <w:marRight w:val="-225"/>
                                  <w:marTop w:val="0"/>
                                  <w:marBottom w:val="0"/>
                                  <w:divBdr>
                                    <w:top w:val="none" w:sz="0" w:space="0" w:color="auto"/>
                                    <w:left w:val="none" w:sz="0" w:space="0" w:color="auto"/>
                                    <w:bottom w:val="none" w:sz="0" w:space="0" w:color="auto"/>
                                    <w:right w:val="none" w:sz="0" w:space="0" w:color="auto"/>
                                  </w:divBdr>
                                  <w:divsChild>
                                    <w:div w:id="560021710">
                                      <w:marLeft w:val="0"/>
                                      <w:marRight w:val="0"/>
                                      <w:marTop w:val="0"/>
                                      <w:marBottom w:val="0"/>
                                      <w:divBdr>
                                        <w:top w:val="none" w:sz="0" w:space="0" w:color="auto"/>
                                        <w:left w:val="none" w:sz="0" w:space="0" w:color="auto"/>
                                        <w:bottom w:val="none" w:sz="0" w:space="0" w:color="auto"/>
                                        <w:right w:val="none" w:sz="0" w:space="0" w:color="auto"/>
                                      </w:divBdr>
                                      <w:divsChild>
                                        <w:div w:id="176775959">
                                          <w:marLeft w:val="0"/>
                                          <w:marRight w:val="0"/>
                                          <w:marTop w:val="0"/>
                                          <w:marBottom w:val="0"/>
                                          <w:divBdr>
                                            <w:top w:val="none" w:sz="0" w:space="0" w:color="auto"/>
                                            <w:left w:val="none" w:sz="0" w:space="0" w:color="auto"/>
                                            <w:bottom w:val="none" w:sz="0" w:space="0" w:color="auto"/>
                                            <w:right w:val="none" w:sz="0" w:space="0" w:color="auto"/>
                                          </w:divBdr>
                                          <w:divsChild>
                                            <w:div w:id="478423997">
                                              <w:marLeft w:val="0"/>
                                              <w:marRight w:val="0"/>
                                              <w:marTop w:val="0"/>
                                              <w:marBottom w:val="0"/>
                                              <w:divBdr>
                                                <w:top w:val="none" w:sz="0" w:space="0" w:color="auto"/>
                                                <w:left w:val="none" w:sz="0" w:space="0" w:color="auto"/>
                                                <w:bottom w:val="none" w:sz="0" w:space="0" w:color="auto"/>
                                                <w:right w:val="none" w:sz="0" w:space="0" w:color="auto"/>
                                              </w:divBdr>
                                              <w:divsChild>
                                                <w:div w:id="780807555">
                                                  <w:marLeft w:val="0"/>
                                                  <w:marRight w:val="0"/>
                                                  <w:marTop w:val="0"/>
                                                  <w:marBottom w:val="0"/>
                                                  <w:divBdr>
                                                    <w:top w:val="none" w:sz="0" w:space="0" w:color="auto"/>
                                                    <w:left w:val="none" w:sz="0" w:space="0" w:color="auto"/>
                                                    <w:bottom w:val="none" w:sz="0" w:space="0" w:color="auto"/>
                                                    <w:right w:val="none" w:sz="0" w:space="0" w:color="auto"/>
                                                  </w:divBdr>
                                                  <w:divsChild>
                                                    <w:div w:id="10671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0151333">
      <w:bodyDiv w:val="1"/>
      <w:marLeft w:val="0"/>
      <w:marRight w:val="0"/>
      <w:marTop w:val="0"/>
      <w:marBottom w:val="0"/>
      <w:divBdr>
        <w:top w:val="none" w:sz="0" w:space="0" w:color="auto"/>
        <w:left w:val="none" w:sz="0" w:space="0" w:color="auto"/>
        <w:bottom w:val="none" w:sz="0" w:space="0" w:color="auto"/>
        <w:right w:val="none" w:sz="0" w:space="0" w:color="auto"/>
      </w:divBdr>
      <w:divsChild>
        <w:div w:id="1891107063">
          <w:marLeft w:val="0"/>
          <w:marRight w:val="0"/>
          <w:marTop w:val="0"/>
          <w:marBottom w:val="0"/>
          <w:divBdr>
            <w:top w:val="none" w:sz="0" w:space="0" w:color="auto"/>
            <w:left w:val="none" w:sz="0" w:space="0" w:color="auto"/>
            <w:bottom w:val="none" w:sz="0" w:space="0" w:color="auto"/>
            <w:right w:val="none" w:sz="0" w:space="0" w:color="auto"/>
          </w:divBdr>
          <w:divsChild>
            <w:div w:id="1252154571">
              <w:marLeft w:val="0"/>
              <w:marRight w:val="0"/>
              <w:marTop w:val="0"/>
              <w:marBottom w:val="0"/>
              <w:divBdr>
                <w:top w:val="none" w:sz="0" w:space="0" w:color="auto"/>
                <w:left w:val="none" w:sz="0" w:space="0" w:color="auto"/>
                <w:bottom w:val="none" w:sz="0" w:space="0" w:color="auto"/>
                <w:right w:val="none" w:sz="0" w:space="0" w:color="auto"/>
              </w:divBdr>
              <w:divsChild>
                <w:div w:id="571431714">
                  <w:marLeft w:val="0"/>
                  <w:marRight w:val="0"/>
                  <w:marTop w:val="0"/>
                  <w:marBottom w:val="0"/>
                  <w:divBdr>
                    <w:top w:val="none" w:sz="0" w:space="0" w:color="auto"/>
                    <w:left w:val="none" w:sz="0" w:space="0" w:color="auto"/>
                    <w:bottom w:val="none" w:sz="0" w:space="0" w:color="auto"/>
                    <w:right w:val="none" w:sz="0" w:space="0" w:color="auto"/>
                  </w:divBdr>
                  <w:divsChild>
                    <w:div w:id="1258363446">
                      <w:marLeft w:val="0"/>
                      <w:marRight w:val="0"/>
                      <w:marTop w:val="0"/>
                      <w:marBottom w:val="0"/>
                      <w:divBdr>
                        <w:top w:val="none" w:sz="0" w:space="0" w:color="auto"/>
                        <w:left w:val="none" w:sz="0" w:space="0" w:color="auto"/>
                        <w:bottom w:val="none" w:sz="0" w:space="0" w:color="auto"/>
                        <w:right w:val="none" w:sz="0" w:space="0" w:color="auto"/>
                      </w:divBdr>
                      <w:divsChild>
                        <w:div w:id="78138222">
                          <w:marLeft w:val="0"/>
                          <w:marRight w:val="0"/>
                          <w:marTop w:val="0"/>
                          <w:marBottom w:val="0"/>
                          <w:divBdr>
                            <w:top w:val="none" w:sz="0" w:space="0" w:color="auto"/>
                            <w:left w:val="none" w:sz="0" w:space="0" w:color="auto"/>
                            <w:bottom w:val="none" w:sz="0" w:space="0" w:color="auto"/>
                            <w:right w:val="none" w:sz="0" w:space="0" w:color="auto"/>
                          </w:divBdr>
                          <w:divsChild>
                            <w:div w:id="1057048071">
                              <w:marLeft w:val="0"/>
                              <w:marRight w:val="0"/>
                              <w:marTop w:val="0"/>
                              <w:marBottom w:val="0"/>
                              <w:divBdr>
                                <w:top w:val="none" w:sz="0" w:space="0" w:color="auto"/>
                                <w:left w:val="none" w:sz="0" w:space="0" w:color="auto"/>
                                <w:bottom w:val="none" w:sz="0" w:space="0" w:color="auto"/>
                                <w:right w:val="none" w:sz="0" w:space="0" w:color="auto"/>
                              </w:divBdr>
                              <w:divsChild>
                                <w:div w:id="1300496933">
                                  <w:marLeft w:val="-225"/>
                                  <w:marRight w:val="-225"/>
                                  <w:marTop w:val="0"/>
                                  <w:marBottom w:val="0"/>
                                  <w:divBdr>
                                    <w:top w:val="none" w:sz="0" w:space="0" w:color="auto"/>
                                    <w:left w:val="none" w:sz="0" w:space="0" w:color="auto"/>
                                    <w:bottom w:val="none" w:sz="0" w:space="0" w:color="auto"/>
                                    <w:right w:val="none" w:sz="0" w:space="0" w:color="auto"/>
                                  </w:divBdr>
                                  <w:divsChild>
                                    <w:div w:id="873468908">
                                      <w:marLeft w:val="0"/>
                                      <w:marRight w:val="0"/>
                                      <w:marTop w:val="0"/>
                                      <w:marBottom w:val="0"/>
                                      <w:divBdr>
                                        <w:top w:val="none" w:sz="0" w:space="0" w:color="auto"/>
                                        <w:left w:val="none" w:sz="0" w:space="0" w:color="auto"/>
                                        <w:bottom w:val="none" w:sz="0" w:space="0" w:color="auto"/>
                                        <w:right w:val="none" w:sz="0" w:space="0" w:color="auto"/>
                                      </w:divBdr>
                                      <w:divsChild>
                                        <w:div w:id="1551913581">
                                          <w:marLeft w:val="0"/>
                                          <w:marRight w:val="0"/>
                                          <w:marTop w:val="0"/>
                                          <w:marBottom w:val="0"/>
                                          <w:divBdr>
                                            <w:top w:val="none" w:sz="0" w:space="0" w:color="auto"/>
                                            <w:left w:val="none" w:sz="0" w:space="0" w:color="auto"/>
                                            <w:bottom w:val="none" w:sz="0" w:space="0" w:color="auto"/>
                                            <w:right w:val="none" w:sz="0" w:space="0" w:color="auto"/>
                                          </w:divBdr>
                                          <w:divsChild>
                                            <w:div w:id="854807393">
                                              <w:marLeft w:val="0"/>
                                              <w:marRight w:val="0"/>
                                              <w:marTop w:val="0"/>
                                              <w:marBottom w:val="0"/>
                                              <w:divBdr>
                                                <w:top w:val="none" w:sz="0" w:space="0" w:color="auto"/>
                                                <w:left w:val="none" w:sz="0" w:space="0" w:color="auto"/>
                                                <w:bottom w:val="none" w:sz="0" w:space="0" w:color="auto"/>
                                                <w:right w:val="none" w:sz="0" w:space="0" w:color="auto"/>
                                              </w:divBdr>
                                              <w:divsChild>
                                                <w:div w:id="535314778">
                                                  <w:marLeft w:val="0"/>
                                                  <w:marRight w:val="0"/>
                                                  <w:marTop w:val="0"/>
                                                  <w:marBottom w:val="0"/>
                                                  <w:divBdr>
                                                    <w:top w:val="none" w:sz="0" w:space="0" w:color="auto"/>
                                                    <w:left w:val="none" w:sz="0" w:space="0" w:color="auto"/>
                                                    <w:bottom w:val="none" w:sz="0" w:space="0" w:color="auto"/>
                                                    <w:right w:val="none" w:sz="0" w:space="0" w:color="auto"/>
                                                  </w:divBdr>
                                                  <w:divsChild>
                                                    <w:div w:id="560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versusarthritis.org/about-arthritis/conditions/joint-hypermobilit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hlers-danlos.com/eds-types/"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doi.org/10.1136/bmj.l2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2019-03-11T00:00:00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TEMS Newsletter</vt:lpstr>
    </vt:vector>
  </TitlesOfParts>
  <Company>Shrewsbury &amp; Telford Hospital NHS Trust</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TEMS Newsletter</dc:title>
  <dc:creator>SedgleyCeri (Head of Physiotherapy and OPD Manager)</dc:creator>
  <cp:lastModifiedBy>Warburton Louise</cp:lastModifiedBy>
  <cp:revision>2</cp:revision>
  <dcterms:created xsi:type="dcterms:W3CDTF">2019-03-14T16:17:00Z</dcterms:created>
  <dcterms:modified xsi:type="dcterms:W3CDTF">2019-03-14T16:17:00Z</dcterms:modified>
</cp:coreProperties>
</file>