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067" w:rsidRDefault="00066067"/>
    <w:tbl>
      <w:tblPr>
        <w:tblpPr w:leftFromText="180" w:rightFromText="180" w:vertAnchor="text" w:horzAnchor="margin" w:tblpX="-601" w:tblpY="-450"/>
        <w:tblW w:w="10632" w:type="dxa"/>
        <w:tblCellMar>
          <w:left w:w="0" w:type="dxa"/>
          <w:right w:w="0" w:type="dxa"/>
        </w:tblCellMar>
        <w:tblLook w:val="00A0" w:firstRow="1" w:lastRow="0" w:firstColumn="1" w:lastColumn="0" w:noHBand="0" w:noVBand="0"/>
      </w:tblPr>
      <w:tblGrid>
        <w:gridCol w:w="10632"/>
      </w:tblGrid>
      <w:tr w:rsidR="00066067" w:rsidRPr="00703FA6" w:rsidTr="00E720DC">
        <w:trPr>
          <w:trHeight w:val="399"/>
        </w:trPr>
        <w:tc>
          <w:tcPr>
            <w:tcW w:w="10632" w:type="dxa"/>
            <w:tcBorders>
              <w:top w:val="single" w:sz="8" w:space="0" w:color="auto"/>
              <w:left w:val="single" w:sz="8" w:space="0" w:color="auto"/>
              <w:bottom w:val="single" w:sz="8" w:space="0" w:color="auto"/>
              <w:right w:val="single" w:sz="8" w:space="0" w:color="auto"/>
            </w:tcBorders>
            <w:shd w:val="clear" w:color="auto" w:fill="002060"/>
            <w:tcMar>
              <w:top w:w="0" w:type="dxa"/>
              <w:left w:w="108" w:type="dxa"/>
              <w:bottom w:w="0" w:type="dxa"/>
              <w:right w:w="108" w:type="dxa"/>
            </w:tcMar>
          </w:tcPr>
          <w:p w:rsidR="00066067" w:rsidRPr="00703FA6" w:rsidRDefault="00066067" w:rsidP="00E720DC">
            <w:pPr>
              <w:spacing w:after="0" w:line="240" w:lineRule="auto"/>
              <w:rPr>
                <w:sz w:val="32"/>
                <w:szCs w:val="32"/>
                <w:lang w:eastAsia="en-GB"/>
              </w:rPr>
            </w:pPr>
            <w:r w:rsidRPr="00703FA6">
              <w:rPr>
                <w:b/>
                <w:bCs/>
                <w:sz w:val="32"/>
                <w:szCs w:val="32"/>
                <w:lang w:eastAsia="en-GB"/>
              </w:rPr>
              <w:t>Formulary and Medicine Management Update</w:t>
            </w:r>
          </w:p>
        </w:tc>
      </w:tr>
    </w:tbl>
    <w:tbl>
      <w:tblPr>
        <w:tblW w:w="10632" w:type="dxa"/>
        <w:tblInd w:w="-601" w:type="dxa"/>
        <w:tblLayout w:type="fixed"/>
        <w:tblCellMar>
          <w:left w:w="0" w:type="dxa"/>
          <w:right w:w="0" w:type="dxa"/>
        </w:tblCellMar>
        <w:tblLook w:val="00A0" w:firstRow="1" w:lastRow="0" w:firstColumn="1" w:lastColumn="0" w:noHBand="0" w:noVBand="0"/>
      </w:tblPr>
      <w:tblGrid>
        <w:gridCol w:w="2410"/>
        <w:gridCol w:w="8222"/>
      </w:tblGrid>
      <w:tr w:rsidR="00066067" w:rsidRPr="00FE308E" w:rsidTr="00204A00">
        <w:trPr>
          <w:trHeight w:val="240"/>
        </w:trPr>
        <w:tc>
          <w:tcPr>
            <w:tcW w:w="10632" w:type="dxa"/>
            <w:gridSpan w:val="2"/>
            <w:tcBorders>
              <w:left w:val="single" w:sz="8" w:space="0" w:color="auto"/>
              <w:bottom w:val="outset" w:sz="6" w:space="0" w:color="000000" w:themeColor="text1"/>
              <w:right w:val="single" w:sz="8" w:space="0" w:color="auto"/>
            </w:tcBorders>
            <w:shd w:val="clear" w:color="auto" w:fill="002060"/>
            <w:tcMar>
              <w:top w:w="0" w:type="dxa"/>
              <w:left w:w="108" w:type="dxa"/>
              <w:bottom w:w="0" w:type="dxa"/>
              <w:right w:w="108" w:type="dxa"/>
            </w:tcMar>
          </w:tcPr>
          <w:p w:rsidR="00066067" w:rsidRPr="00FE308E" w:rsidRDefault="00066067" w:rsidP="00BB25AA">
            <w:pPr>
              <w:spacing w:after="0" w:line="240" w:lineRule="auto"/>
              <w:rPr>
                <w:rFonts w:ascii="Times New Roman" w:hAnsi="Times New Roman"/>
                <w:lang w:eastAsia="en-GB"/>
              </w:rPr>
            </w:pPr>
            <w:r w:rsidRPr="00FE308E">
              <w:rPr>
                <w:b/>
                <w:bCs/>
                <w:lang w:eastAsia="en-GB"/>
              </w:rPr>
              <w:t>Advanced not</w:t>
            </w:r>
            <w:r>
              <w:rPr>
                <w:b/>
                <w:bCs/>
                <w:lang w:eastAsia="en-GB"/>
              </w:rPr>
              <w:t>ification of Medication/issues r</w:t>
            </w:r>
            <w:r w:rsidRPr="00FE308E">
              <w:rPr>
                <w:b/>
                <w:bCs/>
                <w:lang w:eastAsia="en-GB"/>
              </w:rPr>
              <w:t>eviewed</w:t>
            </w:r>
          </w:p>
        </w:tc>
      </w:tr>
      <w:tr w:rsidR="00066067" w:rsidRPr="00F9290F" w:rsidTr="00AE4342">
        <w:trPr>
          <w:trHeight w:val="1546"/>
        </w:trPr>
        <w:tc>
          <w:tcPr>
            <w:tcW w:w="2410" w:type="dxa"/>
            <w:tcBorders>
              <w:top w:val="outset" w:sz="6" w:space="0" w:color="000000" w:themeColor="text1"/>
              <w:left w:val="nil"/>
              <w:bottom w:val="outset" w:sz="6" w:space="0" w:color="000000" w:themeColor="text1"/>
              <w:right w:val="nil"/>
            </w:tcBorders>
            <w:shd w:val="clear" w:color="auto" w:fill="DBE5F1" w:themeFill="accent1" w:themeFillTint="33"/>
            <w:tcMar>
              <w:top w:w="0" w:type="dxa"/>
              <w:left w:w="108" w:type="dxa"/>
              <w:bottom w:w="0" w:type="dxa"/>
              <w:right w:w="108" w:type="dxa"/>
            </w:tcMar>
          </w:tcPr>
          <w:p w:rsidR="00066067" w:rsidRPr="008445A1" w:rsidRDefault="004912AB" w:rsidP="004912AB">
            <w:pPr>
              <w:spacing w:after="0" w:line="240" w:lineRule="auto"/>
              <w:rPr>
                <w:rFonts w:asciiTheme="minorHAnsi" w:hAnsiTheme="minorHAnsi" w:cstheme="minorHAnsi"/>
                <w:sz w:val="24"/>
                <w:szCs w:val="24"/>
                <w:lang w:eastAsia="en-GB"/>
              </w:rPr>
            </w:pPr>
            <w:r w:rsidRPr="008445A1">
              <w:rPr>
                <w:rFonts w:asciiTheme="minorHAnsi" w:eastAsiaTheme="minorHAnsi" w:hAnsiTheme="minorHAnsi" w:cstheme="minorHAnsi"/>
                <w:color w:val="000000"/>
                <w:sz w:val="24"/>
                <w:szCs w:val="24"/>
              </w:rPr>
              <w:t>PGD for the Administration of Pneumococcal Polysaccharide Conjugate Vaccine</w:t>
            </w:r>
          </w:p>
        </w:tc>
        <w:tc>
          <w:tcPr>
            <w:tcW w:w="8222" w:type="dxa"/>
            <w:tcBorders>
              <w:top w:val="outset" w:sz="6" w:space="0" w:color="000000" w:themeColor="text1"/>
              <w:left w:val="nil"/>
              <w:bottom w:val="outset" w:sz="6" w:space="0" w:color="000000" w:themeColor="text1"/>
              <w:right w:val="nil"/>
            </w:tcBorders>
            <w:shd w:val="clear" w:color="auto" w:fill="FFFFFF"/>
            <w:tcMar>
              <w:top w:w="0" w:type="dxa"/>
              <w:left w:w="108" w:type="dxa"/>
              <w:bottom w:w="0" w:type="dxa"/>
              <w:right w:w="108" w:type="dxa"/>
            </w:tcMar>
          </w:tcPr>
          <w:p w:rsidR="004912AB" w:rsidRPr="008445A1" w:rsidRDefault="004912AB" w:rsidP="008445A1">
            <w:pPr>
              <w:jc w:val="both"/>
              <w:rPr>
                <w:sz w:val="20"/>
                <w:szCs w:val="20"/>
              </w:rPr>
            </w:pPr>
            <w:r w:rsidRPr="008445A1">
              <w:rPr>
                <w:sz w:val="20"/>
                <w:szCs w:val="20"/>
              </w:rPr>
              <w:t xml:space="preserve">A new Patient Group Direction (PGD) has been issued by Public Health England. </w:t>
            </w:r>
          </w:p>
          <w:p w:rsidR="0004198E" w:rsidRPr="008445A1" w:rsidRDefault="0004198E" w:rsidP="008445A1">
            <w:pPr>
              <w:jc w:val="both"/>
              <w:rPr>
                <w:rFonts w:asciiTheme="minorHAnsi" w:eastAsiaTheme="minorHAnsi" w:hAnsiTheme="minorHAnsi" w:cstheme="minorHAnsi"/>
                <w:color w:val="000000"/>
                <w:sz w:val="20"/>
                <w:szCs w:val="20"/>
              </w:rPr>
            </w:pPr>
            <w:r w:rsidRPr="008445A1">
              <w:rPr>
                <w:rFonts w:asciiTheme="minorHAnsi" w:eastAsiaTheme="minorHAnsi" w:hAnsiTheme="minorHAnsi" w:cstheme="minorHAnsi"/>
                <w:color w:val="000000"/>
                <w:sz w:val="20"/>
                <w:szCs w:val="20"/>
              </w:rPr>
              <w:t xml:space="preserve">This PGD is for the administration of pneumococcal polysaccharide conjugate vaccine (13-valent, adsorbed) (PCV13), e.g. </w:t>
            </w:r>
            <w:r w:rsidRPr="0004198E">
              <w:rPr>
                <w:rFonts w:asciiTheme="minorHAnsi" w:eastAsiaTheme="minorHAnsi" w:hAnsiTheme="minorHAnsi" w:cstheme="minorHAnsi"/>
                <w:color w:val="000000"/>
                <w:sz w:val="20"/>
                <w:szCs w:val="20"/>
              </w:rPr>
              <w:t>Prevenar® 13 suspension for injection in a pre-filled syringe</w:t>
            </w:r>
            <w:r w:rsidRPr="008445A1">
              <w:rPr>
                <w:rFonts w:asciiTheme="minorHAnsi" w:eastAsiaTheme="minorHAnsi" w:hAnsiTheme="minorHAnsi" w:cstheme="minorHAnsi"/>
                <w:color w:val="000000"/>
                <w:sz w:val="20"/>
                <w:szCs w:val="20"/>
              </w:rPr>
              <w:t>.</w:t>
            </w:r>
          </w:p>
          <w:p w:rsidR="0004198E" w:rsidRPr="008445A1" w:rsidRDefault="0004198E" w:rsidP="008445A1">
            <w:pPr>
              <w:jc w:val="both"/>
              <w:rPr>
                <w:rFonts w:asciiTheme="minorHAnsi" w:eastAsiaTheme="minorHAnsi" w:hAnsiTheme="minorHAnsi" w:cstheme="minorHAnsi"/>
                <w:bCs/>
                <w:color w:val="000000"/>
                <w:sz w:val="20"/>
                <w:szCs w:val="20"/>
              </w:rPr>
            </w:pPr>
            <w:r w:rsidRPr="008445A1">
              <w:rPr>
                <w:rFonts w:asciiTheme="minorHAnsi" w:eastAsiaTheme="minorHAnsi" w:hAnsiTheme="minorHAnsi" w:cstheme="minorHAnsi"/>
                <w:bCs/>
                <w:color w:val="000000"/>
                <w:sz w:val="20"/>
                <w:szCs w:val="20"/>
              </w:rPr>
              <w:t xml:space="preserve">This PGD is designed </w:t>
            </w:r>
            <w:r w:rsidR="004912AB" w:rsidRPr="008445A1">
              <w:rPr>
                <w:rFonts w:asciiTheme="minorHAnsi" w:eastAsiaTheme="minorHAnsi" w:hAnsiTheme="minorHAnsi" w:cstheme="minorHAnsi"/>
                <w:bCs/>
                <w:color w:val="000000"/>
                <w:sz w:val="20"/>
                <w:szCs w:val="20"/>
              </w:rPr>
              <w:t>to facilitate the delivery of publicly funded immunisation in line with national recommendations.</w:t>
            </w:r>
          </w:p>
          <w:p w:rsidR="00EC3793" w:rsidRPr="008445A1" w:rsidRDefault="0004198E" w:rsidP="008445A1">
            <w:pPr>
              <w:jc w:val="both"/>
              <w:rPr>
                <w:sz w:val="20"/>
                <w:szCs w:val="20"/>
              </w:rPr>
            </w:pPr>
            <w:r w:rsidRPr="008445A1">
              <w:rPr>
                <w:rFonts w:asciiTheme="minorHAnsi" w:eastAsiaTheme="minorHAnsi" w:hAnsiTheme="minorHAnsi" w:cstheme="minorHAnsi"/>
                <w:bCs/>
                <w:color w:val="000000"/>
                <w:sz w:val="20"/>
                <w:szCs w:val="20"/>
              </w:rPr>
              <w:t>PGD</w:t>
            </w:r>
            <w:r w:rsidR="004912AB" w:rsidRPr="008445A1">
              <w:rPr>
                <w:sz w:val="20"/>
                <w:szCs w:val="20"/>
              </w:rPr>
              <w:t xml:space="preserve"> for your use from February 1</w:t>
            </w:r>
            <w:r w:rsidR="004912AB" w:rsidRPr="008445A1">
              <w:rPr>
                <w:sz w:val="20"/>
                <w:szCs w:val="20"/>
                <w:vertAlign w:val="superscript"/>
              </w:rPr>
              <w:t>st</w:t>
            </w:r>
            <w:r w:rsidR="004912AB" w:rsidRPr="008445A1">
              <w:rPr>
                <w:sz w:val="20"/>
                <w:szCs w:val="20"/>
              </w:rPr>
              <w:t xml:space="preserve"> 2019</w:t>
            </w:r>
            <w:r w:rsidRPr="008445A1">
              <w:rPr>
                <w:sz w:val="20"/>
                <w:szCs w:val="20"/>
              </w:rPr>
              <w:t>.</w:t>
            </w:r>
          </w:p>
          <w:p w:rsidR="008445A1" w:rsidRPr="008445A1" w:rsidRDefault="008445A1" w:rsidP="008445A1">
            <w:pPr>
              <w:jc w:val="both"/>
              <w:rPr>
                <w:rFonts w:asciiTheme="minorHAnsi" w:eastAsiaTheme="minorHAnsi" w:hAnsiTheme="minorHAnsi" w:cstheme="minorHAnsi"/>
                <w:bCs/>
                <w:color w:val="000000"/>
                <w:sz w:val="20"/>
                <w:szCs w:val="20"/>
              </w:rPr>
            </w:pPr>
            <w:r w:rsidRPr="008445A1">
              <w:rPr>
                <w:sz w:val="20"/>
                <w:szCs w:val="20"/>
              </w:rPr>
              <w:t xml:space="preserve">Click </w:t>
            </w:r>
            <w:hyperlink r:id="rId8" w:history="1">
              <w:r w:rsidRPr="00CC367E">
                <w:rPr>
                  <w:rStyle w:val="Hyperlink"/>
                  <w:sz w:val="20"/>
                  <w:szCs w:val="20"/>
                </w:rPr>
                <w:t>here</w:t>
              </w:r>
            </w:hyperlink>
            <w:r w:rsidRPr="008445A1">
              <w:rPr>
                <w:sz w:val="20"/>
                <w:szCs w:val="20"/>
              </w:rPr>
              <w:t xml:space="preserve"> to access PGD</w:t>
            </w:r>
          </w:p>
          <w:p w:rsidR="00541287" w:rsidRPr="008445A1" w:rsidRDefault="00541287" w:rsidP="006420A1">
            <w:pPr>
              <w:shd w:val="clear" w:color="auto" w:fill="FFFFFF"/>
              <w:spacing w:after="0" w:line="240" w:lineRule="auto"/>
              <w:jc w:val="both"/>
              <w:outlineLvl w:val="3"/>
              <w:rPr>
                <w:rFonts w:asciiTheme="minorHAnsi" w:eastAsia="Times New Roman" w:hAnsiTheme="minorHAnsi" w:cstheme="minorHAnsi"/>
                <w:bCs/>
                <w:color w:val="0E0E0E"/>
                <w:sz w:val="20"/>
                <w:szCs w:val="20"/>
                <w:lang w:eastAsia="en-GB"/>
              </w:rPr>
            </w:pPr>
          </w:p>
        </w:tc>
      </w:tr>
      <w:tr w:rsidR="00066067" w:rsidRPr="00C20139" w:rsidTr="00AE4342">
        <w:trPr>
          <w:trHeight w:val="895"/>
        </w:trPr>
        <w:tc>
          <w:tcPr>
            <w:tcW w:w="2410" w:type="dxa"/>
            <w:tcBorders>
              <w:top w:val="outset" w:sz="6" w:space="0" w:color="000000" w:themeColor="text1"/>
              <w:left w:val="nil"/>
              <w:bottom w:val="outset" w:sz="6" w:space="0" w:color="000000" w:themeColor="text1"/>
              <w:right w:val="nil"/>
            </w:tcBorders>
            <w:shd w:val="clear" w:color="auto" w:fill="95B3D7" w:themeFill="accent1" w:themeFillTint="99"/>
            <w:tcMar>
              <w:top w:w="0" w:type="dxa"/>
              <w:left w:w="108" w:type="dxa"/>
              <w:bottom w:w="0" w:type="dxa"/>
              <w:right w:w="108" w:type="dxa"/>
            </w:tcMar>
          </w:tcPr>
          <w:p w:rsidR="00066067" w:rsidRPr="00255A38" w:rsidRDefault="008445A1" w:rsidP="00BB25AA">
            <w:pPr>
              <w:spacing w:after="0" w:line="240" w:lineRule="auto"/>
              <w:rPr>
                <w:rFonts w:asciiTheme="minorHAnsi" w:hAnsiTheme="minorHAnsi"/>
                <w:sz w:val="24"/>
                <w:szCs w:val="24"/>
                <w:lang w:eastAsia="en-GB"/>
              </w:rPr>
            </w:pPr>
            <w:r>
              <w:rPr>
                <w:rFonts w:asciiTheme="minorHAnsi" w:hAnsiTheme="minorHAnsi"/>
                <w:sz w:val="24"/>
                <w:szCs w:val="24"/>
                <w:lang w:eastAsia="en-GB"/>
              </w:rPr>
              <w:t>Insulin to be Prescribed by Brand Name</w:t>
            </w:r>
          </w:p>
        </w:tc>
        <w:tc>
          <w:tcPr>
            <w:tcW w:w="8222" w:type="dxa"/>
            <w:tcBorders>
              <w:top w:val="outset" w:sz="6" w:space="0" w:color="000000" w:themeColor="text1"/>
              <w:left w:val="nil"/>
              <w:bottom w:val="outset" w:sz="6" w:space="0" w:color="000000" w:themeColor="text1"/>
              <w:right w:val="nil"/>
            </w:tcBorders>
            <w:shd w:val="clear" w:color="auto" w:fill="FFFFFF"/>
            <w:tcMar>
              <w:top w:w="0" w:type="dxa"/>
              <w:left w:w="108" w:type="dxa"/>
              <w:bottom w:w="0" w:type="dxa"/>
              <w:right w:w="108" w:type="dxa"/>
            </w:tcMar>
          </w:tcPr>
          <w:p w:rsidR="008445A1" w:rsidRPr="008445A1" w:rsidRDefault="008445A1" w:rsidP="008445A1">
            <w:pPr>
              <w:jc w:val="both"/>
              <w:rPr>
                <w:sz w:val="20"/>
                <w:szCs w:val="20"/>
              </w:rPr>
            </w:pPr>
            <w:r w:rsidRPr="008445A1">
              <w:rPr>
                <w:sz w:val="20"/>
                <w:szCs w:val="20"/>
              </w:rPr>
              <w:t xml:space="preserve">There is guidance for healthcare professionals to ensure safe and appropriate prescribing or administration of </w:t>
            </w:r>
            <w:r w:rsidRPr="008445A1">
              <w:rPr>
                <w:b/>
                <w:bCs/>
                <w:sz w:val="20"/>
                <w:szCs w:val="20"/>
              </w:rPr>
              <w:t>insulin</w:t>
            </w:r>
            <w:r w:rsidRPr="008445A1">
              <w:rPr>
                <w:sz w:val="20"/>
                <w:szCs w:val="20"/>
              </w:rPr>
              <w:t xml:space="preserve"> products. [1-3]</w:t>
            </w:r>
          </w:p>
          <w:p w:rsidR="008445A1" w:rsidRPr="008445A1" w:rsidRDefault="008445A1" w:rsidP="008445A1">
            <w:pPr>
              <w:jc w:val="both"/>
              <w:rPr>
                <w:sz w:val="20"/>
                <w:szCs w:val="20"/>
              </w:rPr>
            </w:pPr>
            <w:r w:rsidRPr="008445A1">
              <w:rPr>
                <w:sz w:val="20"/>
                <w:szCs w:val="20"/>
              </w:rPr>
              <w:t>Over the last few years, a variety of insulin preparations have become available—including high-strength U200, U300, U500 (i.e. more concentrated than 100 units per ml) insulins, biosimilar formulations, products with different licensing, modified onset of action or combination products with non-insulin drugs.  There is therefore a potential patient safety risk from either the wrong product being prescribed or dispensed or an incorrect dose being administered due to lack of information or familiarity.  </w:t>
            </w:r>
          </w:p>
          <w:p w:rsidR="008445A1" w:rsidRPr="008445A1" w:rsidRDefault="008445A1" w:rsidP="008445A1">
            <w:pPr>
              <w:jc w:val="both"/>
              <w:rPr>
                <w:b/>
                <w:bCs/>
                <w:sz w:val="20"/>
                <w:szCs w:val="20"/>
              </w:rPr>
            </w:pPr>
            <w:r w:rsidRPr="008445A1">
              <w:rPr>
                <w:sz w:val="20"/>
                <w:szCs w:val="20"/>
              </w:rPr>
              <w:t>In June 2018, the Regional Medicines Optimisation Committee (RMOC) issued a position statement on Insulin preparations- Safety factors for local formulary decision</w:t>
            </w:r>
            <w:r w:rsidR="001F5580">
              <w:rPr>
                <w:sz w:val="20"/>
                <w:szCs w:val="20"/>
              </w:rPr>
              <w:t xml:space="preserve"> </w:t>
            </w:r>
            <w:r w:rsidRPr="008445A1">
              <w:rPr>
                <w:sz w:val="20"/>
                <w:szCs w:val="20"/>
              </w:rPr>
              <w:t xml:space="preserve">[4]. Within this guidance RMOC emphasises that all clinicians </w:t>
            </w:r>
            <w:r w:rsidRPr="008445A1">
              <w:rPr>
                <w:sz w:val="20"/>
                <w:szCs w:val="20"/>
                <w:u w:val="single"/>
              </w:rPr>
              <w:t>must</w:t>
            </w:r>
            <w:r w:rsidRPr="008445A1">
              <w:rPr>
                <w:sz w:val="20"/>
                <w:szCs w:val="20"/>
              </w:rPr>
              <w:t xml:space="preserve"> prescribe insulin by brand name</w:t>
            </w:r>
            <w:r w:rsidR="001F5580">
              <w:rPr>
                <w:sz w:val="20"/>
                <w:szCs w:val="20"/>
              </w:rPr>
              <w:t xml:space="preserve"> </w:t>
            </w:r>
            <w:r w:rsidRPr="008445A1">
              <w:rPr>
                <w:sz w:val="20"/>
                <w:szCs w:val="20"/>
              </w:rPr>
              <w:t xml:space="preserve">[4]. Prescriptions should include the brand name, the strength of insulin and the device. </w:t>
            </w:r>
          </w:p>
          <w:p w:rsidR="008445A1" w:rsidRDefault="008445A1" w:rsidP="008445A1">
            <w:pPr>
              <w:rPr>
                <w:sz w:val="18"/>
                <w:szCs w:val="18"/>
              </w:rPr>
            </w:pPr>
            <w:r>
              <w:rPr>
                <w:sz w:val="18"/>
                <w:szCs w:val="18"/>
              </w:rPr>
              <w:t xml:space="preserve">Reference </w:t>
            </w:r>
          </w:p>
          <w:p w:rsidR="008445A1" w:rsidRDefault="008445A1" w:rsidP="008445A1">
            <w:pPr>
              <w:pStyle w:val="ListParagraph"/>
              <w:numPr>
                <w:ilvl w:val="0"/>
                <w:numId w:val="4"/>
              </w:numPr>
              <w:rPr>
                <w:sz w:val="18"/>
                <w:szCs w:val="18"/>
              </w:rPr>
            </w:pPr>
            <w:r>
              <w:rPr>
                <w:sz w:val="18"/>
                <w:szCs w:val="18"/>
              </w:rPr>
              <w:t xml:space="preserve">Medicines and Healthcare products Regulatory Agency </w:t>
            </w:r>
            <w:r>
              <w:rPr>
                <w:color w:val="0B0C0C"/>
                <w:sz w:val="18"/>
                <w:szCs w:val="18"/>
              </w:rPr>
              <w:t xml:space="preserve">High strength, fixed combination and biosimilar insulin products: minimising the risk of medication error  </w:t>
            </w:r>
            <w:r>
              <w:rPr>
                <w:color w:val="0B0C0C"/>
                <w:sz w:val="18"/>
                <w:szCs w:val="18"/>
                <w:shd w:val="clear" w:color="auto" w:fill="FFFFFF"/>
              </w:rPr>
              <w:t>29 April 2015 (</w:t>
            </w:r>
            <w:hyperlink r:id="rId9" w:history="1">
              <w:r>
                <w:rPr>
                  <w:rStyle w:val="Hyperlink"/>
                  <w:sz w:val="18"/>
                  <w:szCs w:val="18"/>
                  <w:shd w:val="clear" w:color="auto" w:fill="FFFFFF"/>
                </w:rPr>
                <w:t>https://www.gov.uk/drug-safety-update/high-strength-fixed-combination-and-biosimilar-insulin-products-minimising-the-risk-of-medication-error</w:t>
              </w:r>
            </w:hyperlink>
            <w:r>
              <w:rPr>
                <w:color w:val="0B0C0C"/>
                <w:sz w:val="18"/>
                <w:szCs w:val="18"/>
                <w:shd w:val="clear" w:color="auto" w:fill="FFFFFF"/>
              </w:rPr>
              <w:t>)</w:t>
            </w:r>
          </w:p>
          <w:p w:rsidR="008445A1" w:rsidRDefault="008445A1" w:rsidP="008445A1">
            <w:pPr>
              <w:pStyle w:val="ListParagraph"/>
              <w:numPr>
                <w:ilvl w:val="0"/>
                <w:numId w:val="4"/>
              </w:numPr>
              <w:rPr>
                <w:rStyle w:val="published-date"/>
              </w:rPr>
            </w:pPr>
            <w:r>
              <w:rPr>
                <w:color w:val="0E0E0E"/>
                <w:sz w:val="18"/>
                <w:szCs w:val="18"/>
              </w:rPr>
              <w:t xml:space="preserve">NICE Safer insulin prescribing </w:t>
            </w:r>
            <w:r>
              <w:rPr>
                <w:rStyle w:val="prod-title"/>
                <w:color w:val="0E0E0E"/>
                <w:sz w:val="18"/>
                <w:szCs w:val="18"/>
              </w:rPr>
              <w:t>Key therapeutic topic [KTT20]</w:t>
            </w:r>
            <w:r>
              <w:rPr>
                <w:color w:val="0E0E0E"/>
                <w:sz w:val="18"/>
                <w:szCs w:val="18"/>
              </w:rPr>
              <w:t xml:space="preserve"> </w:t>
            </w:r>
            <w:r>
              <w:rPr>
                <w:rStyle w:val="published-date"/>
                <w:color w:val="0E0E0E"/>
                <w:sz w:val="18"/>
                <w:szCs w:val="18"/>
              </w:rPr>
              <w:t>January 2017 (updated February 2018) (</w:t>
            </w:r>
            <w:hyperlink r:id="rId10" w:history="1">
              <w:r>
                <w:rPr>
                  <w:rStyle w:val="Hyperlink"/>
                  <w:sz w:val="18"/>
                  <w:szCs w:val="18"/>
                </w:rPr>
                <w:t>https://www.nice.org.uk/advice/ktt20</w:t>
              </w:r>
            </w:hyperlink>
            <w:r>
              <w:rPr>
                <w:rStyle w:val="published-date"/>
                <w:color w:val="0E0E0E"/>
                <w:sz w:val="18"/>
                <w:szCs w:val="18"/>
              </w:rPr>
              <w:t>)</w:t>
            </w:r>
          </w:p>
          <w:p w:rsidR="008445A1" w:rsidRDefault="008445A1" w:rsidP="008445A1">
            <w:pPr>
              <w:pStyle w:val="ListParagraph"/>
              <w:numPr>
                <w:ilvl w:val="0"/>
                <w:numId w:val="4"/>
              </w:numPr>
            </w:pPr>
            <w:r>
              <w:rPr>
                <w:sz w:val="18"/>
                <w:szCs w:val="18"/>
              </w:rPr>
              <w:t>NHS Improvement Patient Safety Alert.  Risk of severe harm and death due to withdrawing insulin from pen devices.  Alert reference number: NHS/PSA/W/2016/011.  November 2016 (</w:t>
            </w:r>
            <w:hyperlink r:id="rId11" w:history="1">
              <w:r>
                <w:rPr>
                  <w:rStyle w:val="Hyperlink"/>
                  <w:sz w:val="18"/>
                  <w:szCs w:val="18"/>
                </w:rPr>
                <w:t>https://improvement.nhs.uk/news-alerts/risk-severe-harm-and-death-withdrawing-insulin-pen-devices/</w:t>
              </w:r>
            </w:hyperlink>
          </w:p>
          <w:p w:rsidR="008445A1" w:rsidRDefault="008445A1" w:rsidP="008445A1">
            <w:pPr>
              <w:pStyle w:val="ListParagraph"/>
              <w:numPr>
                <w:ilvl w:val="0"/>
                <w:numId w:val="4"/>
              </w:numPr>
              <w:rPr>
                <w:sz w:val="18"/>
                <w:szCs w:val="18"/>
              </w:rPr>
            </w:pPr>
            <w:r>
              <w:rPr>
                <w:color w:val="000000"/>
                <w:sz w:val="18"/>
                <w:szCs w:val="18"/>
                <w:shd w:val="clear" w:color="auto" w:fill="FFFFFF"/>
              </w:rPr>
              <w:t>Regional Medicines Optimisation Committee (RMOC) (June 2018) Insulin preparations-Safety factors for local formulary decision-making, Available at: </w:t>
            </w:r>
            <w:hyperlink r:id="rId12" w:history="1">
              <w:r>
                <w:rPr>
                  <w:rStyle w:val="Hyperlink"/>
                  <w:sz w:val="18"/>
                  <w:szCs w:val="18"/>
                  <w:shd w:val="clear" w:color="auto" w:fill="FFFFFF"/>
                </w:rPr>
                <w:t>https://www.sps.nhs.uk/articles/insulin-preparations-rmoc-recommendations-of-safety-considerations-for-formulary-decision-making/</w:t>
              </w:r>
            </w:hyperlink>
            <w:r>
              <w:rPr>
                <w:color w:val="000000"/>
                <w:sz w:val="18"/>
                <w:szCs w:val="18"/>
                <w:shd w:val="clear" w:color="auto" w:fill="FFFFFF"/>
              </w:rPr>
              <w:t> (Accessed: 8th January 2019)</w:t>
            </w:r>
          </w:p>
          <w:p w:rsidR="00255A38" w:rsidRDefault="00255A38" w:rsidP="00255A38">
            <w:pPr>
              <w:rPr>
                <w:rFonts w:cs="Calibri"/>
              </w:rPr>
            </w:pPr>
          </w:p>
          <w:p w:rsidR="00066067" w:rsidRPr="002524E4" w:rsidRDefault="00066067" w:rsidP="00D81E5F">
            <w:pPr>
              <w:spacing w:after="0" w:line="240" w:lineRule="auto"/>
              <w:jc w:val="both"/>
              <w:rPr>
                <w:rFonts w:asciiTheme="minorHAnsi" w:hAnsiTheme="minorHAnsi" w:cstheme="minorHAnsi"/>
                <w:sz w:val="20"/>
                <w:szCs w:val="20"/>
                <w:shd w:val="clear" w:color="auto" w:fill="FFFFFF"/>
              </w:rPr>
            </w:pPr>
          </w:p>
        </w:tc>
      </w:tr>
      <w:tr w:rsidR="00066067" w:rsidRPr="00C20139" w:rsidTr="00AE4342">
        <w:trPr>
          <w:trHeight w:val="1301"/>
        </w:trPr>
        <w:tc>
          <w:tcPr>
            <w:tcW w:w="2410" w:type="dxa"/>
            <w:tcBorders>
              <w:top w:val="outset" w:sz="6" w:space="0" w:color="000000" w:themeColor="text1"/>
              <w:left w:val="nil"/>
              <w:bottom w:val="outset" w:sz="6" w:space="0" w:color="000000" w:themeColor="text1"/>
              <w:right w:val="nil"/>
            </w:tcBorders>
            <w:shd w:val="clear" w:color="auto" w:fill="DBE5F1" w:themeFill="accent1" w:themeFillTint="33"/>
            <w:tcMar>
              <w:top w:w="0" w:type="dxa"/>
              <w:left w:w="108" w:type="dxa"/>
              <w:bottom w:w="0" w:type="dxa"/>
              <w:right w:w="108" w:type="dxa"/>
            </w:tcMar>
          </w:tcPr>
          <w:p w:rsidR="00F34465" w:rsidRPr="0045628E" w:rsidRDefault="0045628E" w:rsidP="0091480F">
            <w:pPr>
              <w:spacing w:after="0" w:line="240" w:lineRule="auto"/>
              <w:rPr>
                <w:sz w:val="24"/>
                <w:szCs w:val="24"/>
              </w:rPr>
            </w:pPr>
            <w:r w:rsidRPr="0045628E">
              <w:rPr>
                <w:rFonts w:cs="Arial"/>
                <w:noProof/>
                <w:color w:val="000000" w:themeColor="text1"/>
                <w:sz w:val="24"/>
                <w:szCs w:val="24"/>
                <w:lang w:eastAsia="en-GB"/>
              </w:rPr>
              <w:lastRenderedPageBreak/>
              <w:t>New NICE guidance on COPD</w:t>
            </w:r>
          </w:p>
        </w:tc>
        <w:tc>
          <w:tcPr>
            <w:tcW w:w="8222" w:type="dxa"/>
            <w:tcBorders>
              <w:top w:val="outset" w:sz="6" w:space="0" w:color="000000" w:themeColor="text1"/>
              <w:left w:val="nil"/>
              <w:bottom w:val="outset" w:sz="6" w:space="0" w:color="000000" w:themeColor="text1"/>
              <w:right w:val="nil"/>
            </w:tcBorders>
            <w:shd w:val="clear" w:color="auto" w:fill="FFFFFF"/>
            <w:tcMar>
              <w:top w:w="0" w:type="dxa"/>
              <w:left w:w="108" w:type="dxa"/>
              <w:bottom w:w="0" w:type="dxa"/>
              <w:right w:w="108" w:type="dxa"/>
            </w:tcMar>
          </w:tcPr>
          <w:p w:rsidR="0045628E" w:rsidRPr="0045628E" w:rsidRDefault="0045628E" w:rsidP="0045628E">
            <w:pPr>
              <w:spacing w:after="0" w:line="240" w:lineRule="auto"/>
              <w:jc w:val="both"/>
              <w:rPr>
                <w:rFonts w:asciiTheme="minorHAnsi" w:eastAsiaTheme="minorHAnsi" w:hAnsiTheme="minorHAnsi" w:cstheme="minorHAnsi"/>
                <w:sz w:val="20"/>
                <w:szCs w:val="20"/>
              </w:rPr>
            </w:pPr>
            <w:r w:rsidRPr="0045628E">
              <w:rPr>
                <w:rFonts w:asciiTheme="minorHAnsi" w:eastAsiaTheme="minorHAnsi" w:hAnsiTheme="minorHAnsi" w:cstheme="minorHAnsi"/>
                <w:sz w:val="20"/>
                <w:szCs w:val="20"/>
              </w:rPr>
              <w:t xml:space="preserve">In December 2018, NICE published two guidelines on chronic obstructive pulmonary disease (COPD). Guideline </w:t>
            </w:r>
            <w:hyperlink r:id="rId13" w:history="1">
              <w:r w:rsidRPr="0045628E">
                <w:rPr>
                  <w:rFonts w:asciiTheme="minorHAnsi" w:eastAsiaTheme="minorHAnsi" w:hAnsiTheme="minorHAnsi" w:cstheme="minorHAnsi"/>
                  <w:color w:val="0000FF" w:themeColor="hyperlink"/>
                  <w:sz w:val="20"/>
                  <w:szCs w:val="20"/>
                  <w:u w:val="single"/>
                </w:rPr>
                <w:t>NG115</w:t>
              </w:r>
            </w:hyperlink>
            <w:r w:rsidRPr="0045628E">
              <w:rPr>
                <w:rFonts w:asciiTheme="minorHAnsi" w:eastAsiaTheme="minorHAnsi" w:hAnsiTheme="minorHAnsi" w:cstheme="minorHAnsi"/>
                <w:sz w:val="20"/>
                <w:szCs w:val="20"/>
              </w:rPr>
              <w:t xml:space="preserve"> is an update to the previous 2010 NICE guidance on the diagnosis and management of COPD. The second is a new guideline (</w:t>
            </w:r>
            <w:hyperlink r:id="rId14" w:history="1">
              <w:r w:rsidRPr="0045628E">
                <w:rPr>
                  <w:rFonts w:asciiTheme="minorHAnsi" w:eastAsiaTheme="minorHAnsi" w:hAnsiTheme="minorHAnsi" w:cstheme="minorHAnsi"/>
                  <w:color w:val="0000FF" w:themeColor="hyperlink"/>
                  <w:sz w:val="20"/>
                  <w:szCs w:val="20"/>
                  <w:u w:val="single"/>
                </w:rPr>
                <w:t>NG114</w:t>
              </w:r>
            </w:hyperlink>
            <w:r w:rsidRPr="0045628E">
              <w:rPr>
                <w:rFonts w:asciiTheme="minorHAnsi" w:eastAsiaTheme="minorHAnsi" w:hAnsiTheme="minorHAnsi" w:cstheme="minorHAnsi"/>
                <w:sz w:val="20"/>
                <w:szCs w:val="20"/>
              </w:rPr>
              <w:t>) on antimicrobial prescribing for acute COPD exacerbations. Links to both guidelines below:</w:t>
            </w:r>
          </w:p>
          <w:p w:rsidR="000E3D1C" w:rsidRPr="0045628E" w:rsidRDefault="000E3D1C" w:rsidP="0045628E">
            <w:pPr>
              <w:jc w:val="both"/>
              <w:rPr>
                <w:rFonts w:asciiTheme="minorHAnsi" w:hAnsiTheme="minorHAnsi" w:cstheme="minorHAnsi"/>
                <w:sz w:val="20"/>
                <w:szCs w:val="20"/>
              </w:rPr>
            </w:pPr>
          </w:p>
          <w:p w:rsidR="0045628E" w:rsidRPr="0045628E" w:rsidRDefault="0045628E" w:rsidP="0045628E">
            <w:pPr>
              <w:pStyle w:val="ListParagraph"/>
              <w:numPr>
                <w:ilvl w:val="0"/>
                <w:numId w:val="10"/>
              </w:numPr>
              <w:spacing w:after="0" w:line="240" w:lineRule="auto"/>
              <w:jc w:val="both"/>
              <w:rPr>
                <w:rFonts w:asciiTheme="minorHAnsi" w:eastAsiaTheme="minorHAnsi" w:hAnsiTheme="minorHAnsi" w:cstheme="minorHAnsi"/>
                <w:sz w:val="20"/>
                <w:szCs w:val="20"/>
              </w:rPr>
            </w:pPr>
            <w:r w:rsidRPr="0045628E">
              <w:rPr>
                <w:rFonts w:asciiTheme="minorHAnsi" w:eastAsiaTheme="minorHAnsi" w:hAnsiTheme="minorHAnsi" w:cstheme="minorHAnsi"/>
                <w:sz w:val="20"/>
                <w:szCs w:val="20"/>
              </w:rPr>
              <w:t xml:space="preserve">NICE guideline [NG115]. </w:t>
            </w:r>
            <w:hyperlink r:id="rId15" w:history="1">
              <w:r w:rsidRPr="0045628E">
                <w:rPr>
                  <w:rFonts w:asciiTheme="minorHAnsi" w:eastAsiaTheme="minorHAnsi" w:hAnsiTheme="minorHAnsi" w:cstheme="minorHAnsi"/>
                  <w:color w:val="0000FF" w:themeColor="hyperlink"/>
                  <w:sz w:val="20"/>
                  <w:szCs w:val="20"/>
                  <w:u w:val="single"/>
                </w:rPr>
                <w:t>Chronic obstructive pulmonary disease in over 16s: diagnosis and management.</w:t>
              </w:r>
            </w:hyperlink>
            <w:r w:rsidRPr="0045628E">
              <w:rPr>
                <w:rFonts w:asciiTheme="minorHAnsi" w:eastAsiaTheme="minorHAnsi" w:hAnsiTheme="minorHAnsi" w:cstheme="minorHAnsi"/>
                <w:sz w:val="20"/>
                <w:szCs w:val="20"/>
              </w:rPr>
              <w:t xml:space="preserve"> Dec-18.  A 1-page </w:t>
            </w:r>
            <w:hyperlink r:id="rId16" w:history="1">
              <w:r w:rsidRPr="0045628E">
                <w:rPr>
                  <w:rFonts w:asciiTheme="minorHAnsi" w:eastAsiaTheme="minorHAnsi" w:hAnsiTheme="minorHAnsi" w:cstheme="minorHAnsi"/>
                  <w:color w:val="0000FF" w:themeColor="hyperlink"/>
                  <w:sz w:val="20"/>
                  <w:szCs w:val="20"/>
                  <w:u w:val="single"/>
                </w:rPr>
                <w:t>visual summary</w:t>
              </w:r>
            </w:hyperlink>
            <w:r w:rsidRPr="0045628E">
              <w:rPr>
                <w:rFonts w:asciiTheme="minorHAnsi" w:eastAsiaTheme="minorHAnsi" w:hAnsiTheme="minorHAnsi" w:cstheme="minorHAnsi"/>
                <w:sz w:val="20"/>
                <w:szCs w:val="20"/>
              </w:rPr>
              <w:t xml:space="preserve"> is also available, covering non-pharmacological management and inhaled therapies.</w:t>
            </w:r>
          </w:p>
          <w:p w:rsidR="0045628E" w:rsidRPr="0045628E" w:rsidRDefault="0045628E" w:rsidP="0045628E">
            <w:pPr>
              <w:pStyle w:val="ListParagraph"/>
              <w:numPr>
                <w:ilvl w:val="0"/>
                <w:numId w:val="10"/>
              </w:numPr>
              <w:spacing w:after="0" w:line="240" w:lineRule="auto"/>
              <w:jc w:val="both"/>
              <w:rPr>
                <w:rFonts w:asciiTheme="minorHAnsi" w:eastAsiaTheme="minorHAnsi" w:hAnsiTheme="minorHAnsi" w:cstheme="minorHAnsi"/>
                <w:sz w:val="20"/>
                <w:szCs w:val="20"/>
              </w:rPr>
            </w:pPr>
            <w:r w:rsidRPr="0045628E">
              <w:rPr>
                <w:rFonts w:asciiTheme="minorHAnsi" w:eastAsiaTheme="minorHAnsi" w:hAnsiTheme="minorHAnsi" w:cstheme="minorHAnsi"/>
                <w:sz w:val="20"/>
                <w:szCs w:val="20"/>
              </w:rPr>
              <w:t xml:space="preserve">NICE guideline [NG114]. </w:t>
            </w:r>
            <w:hyperlink r:id="rId17" w:history="1">
              <w:r w:rsidRPr="0045628E">
                <w:rPr>
                  <w:rFonts w:asciiTheme="minorHAnsi" w:eastAsiaTheme="minorHAnsi" w:hAnsiTheme="minorHAnsi" w:cstheme="minorHAnsi"/>
                  <w:color w:val="0000FF" w:themeColor="hyperlink"/>
                  <w:sz w:val="20"/>
                  <w:szCs w:val="20"/>
                  <w:u w:val="single"/>
                </w:rPr>
                <w:t>Chronic obstructive pulmonary disease (acute exacerbation): antimicrobial prescribing.</w:t>
              </w:r>
            </w:hyperlink>
            <w:r w:rsidRPr="0045628E">
              <w:rPr>
                <w:rFonts w:asciiTheme="minorHAnsi" w:eastAsiaTheme="minorHAnsi" w:hAnsiTheme="minorHAnsi" w:cstheme="minorHAnsi"/>
                <w:sz w:val="20"/>
                <w:szCs w:val="20"/>
              </w:rPr>
              <w:t xml:space="preserve"> Dec-18. A </w:t>
            </w:r>
            <w:r w:rsidRPr="0045628E">
              <w:rPr>
                <w:rFonts w:asciiTheme="minorHAnsi" w:eastAsiaTheme="minorHAnsi" w:hAnsiTheme="minorHAnsi" w:cstheme="minorHAnsi"/>
                <w:sz w:val="20"/>
              </w:rPr>
              <w:t xml:space="preserve">2-page </w:t>
            </w:r>
            <w:hyperlink r:id="rId18" w:history="1">
              <w:r w:rsidRPr="0045628E">
                <w:rPr>
                  <w:rFonts w:asciiTheme="minorHAnsi" w:eastAsiaTheme="minorHAnsi" w:hAnsiTheme="minorHAnsi" w:cstheme="minorHAnsi"/>
                  <w:color w:val="0000FF" w:themeColor="hyperlink"/>
                  <w:sz w:val="20"/>
                  <w:u w:val="single"/>
                </w:rPr>
                <w:t>visual summary</w:t>
              </w:r>
            </w:hyperlink>
            <w:r w:rsidRPr="0045628E">
              <w:rPr>
                <w:rFonts w:asciiTheme="minorHAnsi" w:eastAsiaTheme="minorHAnsi" w:hAnsiTheme="minorHAnsi" w:cstheme="minorHAnsi"/>
                <w:sz w:val="20"/>
              </w:rPr>
              <w:t xml:space="preserve"> of NG114</w:t>
            </w:r>
            <w:r w:rsidRPr="0045628E">
              <w:rPr>
                <w:rFonts w:asciiTheme="minorHAnsi" w:eastAsiaTheme="minorHAnsi" w:hAnsiTheme="minorHAnsi" w:cstheme="minorHAnsi"/>
                <w:sz w:val="20"/>
                <w:szCs w:val="20"/>
              </w:rPr>
              <w:t xml:space="preserve"> is also available. </w:t>
            </w:r>
          </w:p>
          <w:p w:rsidR="0045628E" w:rsidRPr="000E3D1C" w:rsidRDefault="0045628E" w:rsidP="0045628E">
            <w:pPr>
              <w:rPr>
                <w:sz w:val="20"/>
                <w:szCs w:val="20"/>
              </w:rPr>
            </w:pPr>
          </w:p>
        </w:tc>
      </w:tr>
      <w:tr w:rsidR="00066067" w:rsidRPr="00C20139" w:rsidTr="00AE4342">
        <w:trPr>
          <w:trHeight w:val="492"/>
        </w:trPr>
        <w:tc>
          <w:tcPr>
            <w:tcW w:w="2410" w:type="dxa"/>
            <w:tcBorders>
              <w:top w:val="outset" w:sz="6" w:space="0" w:color="000000" w:themeColor="text1"/>
              <w:left w:val="nil"/>
              <w:bottom w:val="outset" w:sz="6" w:space="0" w:color="000000" w:themeColor="text1"/>
              <w:right w:val="nil"/>
            </w:tcBorders>
            <w:shd w:val="clear" w:color="auto" w:fill="95B3D7" w:themeFill="accent1" w:themeFillTint="99"/>
            <w:tcMar>
              <w:top w:w="0" w:type="dxa"/>
              <w:left w:w="108" w:type="dxa"/>
              <w:bottom w:w="0" w:type="dxa"/>
              <w:right w:w="108" w:type="dxa"/>
            </w:tcMar>
          </w:tcPr>
          <w:p w:rsidR="00066067" w:rsidRPr="00F46294" w:rsidRDefault="0045628E" w:rsidP="00F46294">
            <w:pPr>
              <w:pStyle w:val="tagline"/>
              <w:rPr>
                <w:rFonts w:asciiTheme="minorHAnsi" w:hAnsiTheme="minorHAnsi" w:cstheme="minorHAnsi"/>
                <w:i w:val="0"/>
                <w:color w:val="000000" w:themeColor="text1"/>
                <w:sz w:val="24"/>
                <w:szCs w:val="24"/>
              </w:rPr>
            </w:pPr>
            <w:r>
              <w:rPr>
                <w:rFonts w:asciiTheme="minorHAnsi" w:hAnsiTheme="minorHAnsi" w:cstheme="minorHAnsi"/>
                <w:i w:val="0"/>
                <w:color w:val="000000" w:themeColor="text1"/>
                <w:sz w:val="24"/>
                <w:szCs w:val="24"/>
              </w:rPr>
              <w:t>Paracetamol Guidance</w:t>
            </w:r>
          </w:p>
        </w:tc>
        <w:tc>
          <w:tcPr>
            <w:tcW w:w="8222" w:type="dxa"/>
            <w:tcBorders>
              <w:top w:val="outset" w:sz="6" w:space="0" w:color="000000" w:themeColor="text1"/>
              <w:left w:val="nil"/>
              <w:bottom w:val="outset" w:sz="6" w:space="0" w:color="000000" w:themeColor="text1"/>
              <w:right w:val="nil"/>
            </w:tcBorders>
            <w:shd w:val="clear" w:color="auto" w:fill="FFFFFF"/>
            <w:tcMar>
              <w:top w:w="0" w:type="dxa"/>
              <w:left w:w="108" w:type="dxa"/>
              <w:bottom w:w="0" w:type="dxa"/>
              <w:right w:w="108" w:type="dxa"/>
            </w:tcMar>
          </w:tcPr>
          <w:p w:rsidR="00154A7B" w:rsidRPr="00154A7B" w:rsidRDefault="00154A7B" w:rsidP="00154A7B">
            <w:pPr>
              <w:jc w:val="both"/>
              <w:rPr>
                <w:color w:val="1F497D"/>
              </w:rPr>
            </w:pPr>
            <w:r w:rsidRPr="00154A7B">
              <w:rPr>
                <w:rFonts w:asciiTheme="minorHAnsi" w:hAnsiTheme="minorHAnsi" w:cstheme="minorHAnsi"/>
                <w:color w:val="0B0C0C"/>
                <w:sz w:val="20"/>
                <w:szCs w:val="20"/>
                <w:shd w:val="clear" w:color="auto" w:fill="FFFFFF"/>
              </w:rPr>
              <w:t>Selection of documents available to aid healthcare professional</w:t>
            </w:r>
            <w:r w:rsidR="001F5580">
              <w:rPr>
                <w:rFonts w:asciiTheme="minorHAnsi" w:hAnsiTheme="minorHAnsi" w:cstheme="minorHAnsi"/>
                <w:color w:val="0B0C0C"/>
                <w:sz w:val="20"/>
                <w:szCs w:val="20"/>
                <w:shd w:val="clear" w:color="auto" w:fill="FFFFFF"/>
              </w:rPr>
              <w:t>s</w:t>
            </w:r>
            <w:r w:rsidRPr="00154A7B">
              <w:rPr>
                <w:rFonts w:asciiTheme="minorHAnsi" w:hAnsiTheme="minorHAnsi" w:cstheme="minorHAnsi"/>
                <w:color w:val="0B0C0C"/>
                <w:sz w:val="20"/>
                <w:szCs w:val="20"/>
                <w:shd w:val="clear" w:color="auto" w:fill="FFFFFF"/>
              </w:rPr>
              <w:t xml:space="preserve"> across a variety of issues surrounding Paracetamol prescribing and administration </w:t>
            </w:r>
            <w:r>
              <w:rPr>
                <w:rFonts w:asciiTheme="minorHAnsi" w:hAnsiTheme="minorHAnsi" w:cstheme="minorHAnsi"/>
                <w:color w:val="0B0C0C"/>
                <w:sz w:val="20"/>
                <w:szCs w:val="20"/>
                <w:shd w:val="clear" w:color="auto" w:fill="FFFFFF"/>
              </w:rPr>
              <w:t xml:space="preserve">within the care home environment </w:t>
            </w:r>
            <w:r w:rsidRPr="00154A7B">
              <w:rPr>
                <w:rFonts w:asciiTheme="minorHAnsi" w:hAnsiTheme="minorHAnsi" w:cstheme="minorHAnsi"/>
                <w:color w:val="0B0C0C"/>
                <w:sz w:val="20"/>
                <w:szCs w:val="20"/>
                <w:shd w:val="clear" w:color="auto" w:fill="FFFFFF"/>
              </w:rPr>
              <w:t xml:space="preserve">can be accessed via the Telford </w:t>
            </w:r>
            <w:r w:rsidR="001F5580">
              <w:rPr>
                <w:rFonts w:asciiTheme="minorHAnsi" w:hAnsiTheme="minorHAnsi" w:cstheme="minorHAnsi"/>
                <w:color w:val="0B0C0C"/>
                <w:sz w:val="20"/>
                <w:szCs w:val="20"/>
                <w:shd w:val="clear" w:color="auto" w:fill="FFFFFF"/>
              </w:rPr>
              <w:t>CCG</w:t>
            </w:r>
            <w:r w:rsidRPr="00154A7B">
              <w:rPr>
                <w:rFonts w:asciiTheme="minorHAnsi" w:hAnsiTheme="minorHAnsi" w:cstheme="minorHAnsi"/>
                <w:color w:val="0B0C0C"/>
                <w:sz w:val="20"/>
                <w:szCs w:val="20"/>
                <w:shd w:val="clear" w:color="auto" w:fill="FFFFFF"/>
              </w:rPr>
              <w:t xml:space="preserve"> website.</w:t>
            </w:r>
            <w:r>
              <w:rPr>
                <w:rFonts w:asciiTheme="minorHAnsi" w:hAnsiTheme="minorHAnsi" w:cstheme="minorHAnsi"/>
                <w:color w:val="0B0C0C"/>
                <w:sz w:val="20"/>
                <w:szCs w:val="20"/>
                <w:shd w:val="clear" w:color="auto" w:fill="FFFFFF"/>
              </w:rPr>
              <w:t xml:space="preserve"> </w:t>
            </w:r>
          </w:p>
          <w:p w:rsidR="00154A7B" w:rsidRPr="00154A7B" w:rsidRDefault="00154A7B" w:rsidP="00154A7B">
            <w:pPr>
              <w:rPr>
                <w:color w:val="1F497D"/>
                <w:sz w:val="20"/>
                <w:szCs w:val="20"/>
              </w:rPr>
            </w:pPr>
            <w:r w:rsidRPr="00154A7B">
              <w:rPr>
                <w:rFonts w:asciiTheme="minorHAnsi" w:hAnsiTheme="minorHAnsi" w:cstheme="minorHAnsi"/>
                <w:sz w:val="20"/>
                <w:szCs w:val="20"/>
              </w:rPr>
              <w:t xml:space="preserve">Link: </w:t>
            </w:r>
            <w:hyperlink r:id="rId19" w:history="1">
              <w:r w:rsidRPr="00154A7B">
                <w:rPr>
                  <w:rStyle w:val="Hyperlink"/>
                  <w:sz w:val="20"/>
                  <w:szCs w:val="20"/>
                </w:rPr>
                <w:t>https://www.telfordccg.nhs.uk/your-health/medicines-management/care-homes/guidelines</w:t>
              </w:r>
            </w:hyperlink>
            <w:r w:rsidRPr="00154A7B">
              <w:rPr>
                <w:color w:val="1F497D"/>
                <w:sz w:val="20"/>
                <w:szCs w:val="20"/>
              </w:rPr>
              <w:t xml:space="preserve"> </w:t>
            </w:r>
          </w:p>
          <w:p w:rsidR="00154A7B" w:rsidRPr="006532B5" w:rsidRDefault="00154A7B" w:rsidP="0045628E">
            <w:pPr>
              <w:shd w:val="clear" w:color="auto" w:fill="FFFFFF"/>
              <w:spacing w:after="0" w:line="240" w:lineRule="auto"/>
              <w:textAlignment w:val="baseline"/>
              <w:outlineLvl w:val="0"/>
              <w:rPr>
                <w:rFonts w:asciiTheme="minorHAnsi" w:hAnsiTheme="minorHAnsi" w:cstheme="minorHAnsi"/>
              </w:rPr>
            </w:pPr>
          </w:p>
        </w:tc>
      </w:tr>
      <w:tr w:rsidR="00AF5A67" w:rsidRPr="00C20139" w:rsidTr="00AF5A67">
        <w:trPr>
          <w:trHeight w:val="492"/>
        </w:trPr>
        <w:tc>
          <w:tcPr>
            <w:tcW w:w="2410" w:type="dxa"/>
            <w:tcBorders>
              <w:top w:val="outset" w:sz="6" w:space="0" w:color="000000" w:themeColor="text1"/>
              <w:left w:val="nil"/>
              <w:bottom w:val="outset" w:sz="6" w:space="0" w:color="000000" w:themeColor="text1"/>
              <w:right w:val="nil"/>
            </w:tcBorders>
            <w:shd w:val="clear" w:color="auto" w:fill="DBE5F1" w:themeFill="accent1" w:themeFillTint="33"/>
            <w:tcMar>
              <w:top w:w="0" w:type="dxa"/>
              <w:left w:w="108" w:type="dxa"/>
              <w:bottom w:w="0" w:type="dxa"/>
              <w:right w:w="108" w:type="dxa"/>
            </w:tcMar>
          </w:tcPr>
          <w:p w:rsidR="00AF5A67" w:rsidRDefault="00154A7B" w:rsidP="00B66F1D">
            <w:pPr>
              <w:pStyle w:val="tagline"/>
              <w:rPr>
                <w:rFonts w:asciiTheme="minorHAnsi" w:hAnsiTheme="minorHAnsi" w:cstheme="minorHAnsi"/>
                <w:i w:val="0"/>
                <w:sz w:val="24"/>
                <w:szCs w:val="24"/>
              </w:rPr>
            </w:pPr>
            <w:r>
              <w:rPr>
                <w:rFonts w:asciiTheme="minorHAnsi" w:hAnsiTheme="minorHAnsi" w:cstheme="minorHAnsi"/>
                <w:i w:val="0"/>
                <w:sz w:val="24"/>
                <w:szCs w:val="24"/>
              </w:rPr>
              <w:t>Sodium Valproate Template</w:t>
            </w:r>
            <w:r w:rsidR="005022D4">
              <w:rPr>
                <w:rFonts w:asciiTheme="minorHAnsi" w:hAnsiTheme="minorHAnsi" w:cstheme="minorHAnsi"/>
                <w:i w:val="0"/>
                <w:sz w:val="24"/>
                <w:szCs w:val="24"/>
              </w:rPr>
              <w:t xml:space="preserve"> (are you acting in compliance with the pregnancy prevention measures)</w:t>
            </w:r>
          </w:p>
        </w:tc>
        <w:tc>
          <w:tcPr>
            <w:tcW w:w="8222" w:type="dxa"/>
            <w:tcBorders>
              <w:top w:val="outset" w:sz="6" w:space="0" w:color="000000" w:themeColor="text1"/>
              <w:left w:val="nil"/>
              <w:bottom w:val="outset" w:sz="6" w:space="0" w:color="000000" w:themeColor="text1"/>
              <w:right w:val="nil"/>
            </w:tcBorders>
            <w:shd w:val="clear" w:color="auto" w:fill="FFFFFF"/>
            <w:tcMar>
              <w:top w:w="0" w:type="dxa"/>
              <w:left w:w="108" w:type="dxa"/>
              <w:bottom w:w="0" w:type="dxa"/>
              <w:right w:w="108" w:type="dxa"/>
            </w:tcMar>
          </w:tcPr>
          <w:p w:rsidR="005022D4" w:rsidRPr="005022D4" w:rsidRDefault="005022D4" w:rsidP="005022D4">
            <w:pPr>
              <w:shd w:val="clear" w:color="auto" w:fill="FFFFFF"/>
              <w:spacing w:after="0" w:line="240" w:lineRule="auto"/>
              <w:jc w:val="both"/>
              <w:textAlignment w:val="baseline"/>
              <w:outlineLvl w:val="0"/>
              <w:rPr>
                <w:rFonts w:asciiTheme="minorHAnsi" w:eastAsia="Times New Roman" w:hAnsiTheme="minorHAnsi" w:cstheme="minorHAnsi"/>
                <w:bCs/>
                <w:color w:val="0B0C0C"/>
                <w:kern w:val="36"/>
                <w:sz w:val="20"/>
                <w:szCs w:val="20"/>
                <w:lang w:eastAsia="en-GB"/>
              </w:rPr>
            </w:pPr>
            <w:r w:rsidRPr="005022D4">
              <w:rPr>
                <w:rFonts w:asciiTheme="minorHAnsi" w:eastAsia="Times New Roman" w:hAnsiTheme="minorHAnsi" w:cstheme="minorHAnsi"/>
                <w:bCs/>
                <w:color w:val="0B0C0C"/>
                <w:kern w:val="36"/>
                <w:sz w:val="20"/>
                <w:szCs w:val="20"/>
                <w:lang w:eastAsia="en-GB"/>
              </w:rPr>
              <w:t>A reminder to practices that the pregnancy prevention requirements need to be adhered to for all women of childbearing potential taking Valproate medication.</w:t>
            </w:r>
          </w:p>
          <w:p w:rsidR="005022D4" w:rsidRPr="005022D4" w:rsidRDefault="005022D4" w:rsidP="005022D4">
            <w:pPr>
              <w:shd w:val="clear" w:color="auto" w:fill="FFFFFF"/>
              <w:spacing w:after="0" w:line="240" w:lineRule="auto"/>
              <w:jc w:val="both"/>
              <w:textAlignment w:val="baseline"/>
              <w:outlineLvl w:val="0"/>
              <w:rPr>
                <w:rFonts w:asciiTheme="minorHAnsi" w:eastAsia="Times New Roman" w:hAnsiTheme="minorHAnsi" w:cstheme="minorHAnsi"/>
                <w:bCs/>
                <w:color w:val="0B0C0C"/>
                <w:kern w:val="36"/>
                <w:sz w:val="20"/>
                <w:szCs w:val="20"/>
                <w:lang w:eastAsia="en-GB"/>
              </w:rPr>
            </w:pPr>
          </w:p>
          <w:p w:rsidR="005022D4" w:rsidRPr="005022D4" w:rsidRDefault="005022D4" w:rsidP="005022D4">
            <w:pPr>
              <w:shd w:val="clear" w:color="auto" w:fill="FFFFFF"/>
              <w:spacing w:after="0" w:line="240" w:lineRule="auto"/>
              <w:jc w:val="both"/>
              <w:textAlignment w:val="baseline"/>
              <w:outlineLvl w:val="0"/>
              <w:rPr>
                <w:rFonts w:asciiTheme="minorHAnsi" w:hAnsiTheme="minorHAnsi" w:cstheme="minorHAnsi"/>
                <w:color w:val="0B0C0C"/>
                <w:sz w:val="20"/>
                <w:szCs w:val="20"/>
                <w:shd w:val="clear" w:color="auto" w:fill="FFFFFF"/>
              </w:rPr>
            </w:pPr>
            <w:r w:rsidRPr="005022D4">
              <w:rPr>
                <w:rFonts w:asciiTheme="minorHAnsi" w:hAnsiTheme="minorHAnsi" w:cstheme="minorHAnsi"/>
                <w:color w:val="0B0C0C"/>
                <w:sz w:val="20"/>
                <w:szCs w:val="20"/>
                <w:shd w:val="clear" w:color="auto" w:fill="FFFFFF"/>
              </w:rPr>
              <w:t>All healthcare professionals must continue to identify and review all female patients on valproate, including when it is used outside the licensed indications (off-label use) and provide them with the patient information materials every time they attend their appointments or receive their medicines (including the Patient Information Leaflet at dispensing).</w:t>
            </w:r>
          </w:p>
          <w:p w:rsidR="005022D4" w:rsidRPr="005022D4" w:rsidRDefault="005022D4" w:rsidP="005022D4">
            <w:pPr>
              <w:shd w:val="clear" w:color="auto" w:fill="FFFFFF"/>
              <w:spacing w:after="0" w:line="240" w:lineRule="auto"/>
              <w:jc w:val="both"/>
              <w:textAlignment w:val="baseline"/>
              <w:outlineLvl w:val="0"/>
              <w:rPr>
                <w:rFonts w:asciiTheme="minorHAnsi" w:hAnsiTheme="minorHAnsi" w:cstheme="minorHAnsi"/>
                <w:color w:val="0B0C0C"/>
                <w:sz w:val="20"/>
                <w:szCs w:val="20"/>
                <w:shd w:val="clear" w:color="auto" w:fill="FFFFFF"/>
              </w:rPr>
            </w:pPr>
          </w:p>
          <w:p w:rsidR="005022D4" w:rsidRPr="005022D4" w:rsidRDefault="005022D4" w:rsidP="005022D4">
            <w:pPr>
              <w:shd w:val="clear" w:color="auto" w:fill="FFFFFF"/>
              <w:spacing w:after="0" w:line="240" w:lineRule="auto"/>
              <w:jc w:val="both"/>
              <w:textAlignment w:val="baseline"/>
              <w:outlineLvl w:val="0"/>
              <w:rPr>
                <w:rStyle w:val="Hyperlink"/>
                <w:rFonts w:asciiTheme="minorHAnsi" w:hAnsiTheme="minorHAnsi" w:cstheme="minorHAnsi"/>
                <w:sz w:val="20"/>
                <w:szCs w:val="20"/>
                <w:shd w:val="clear" w:color="auto" w:fill="FFFFFF"/>
              </w:rPr>
            </w:pPr>
            <w:r w:rsidRPr="005022D4">
              <w:rPr>
                <w:rFonts w:asciiTheme="minorHAnsi" w:hAnsiTheme="minorHAnsi" w:cstheme="minorHAnsi"/>
                <w:color w:val="0B0C0C"/>
                <w:sz w:val="20"/>
                <w:szCs w:val="20"/>
                <w:shd w:val="clear" w:color="auto" w:fill="FFFFFF"/>
              </w:rPr>
              <w:t xml:space="preserve">For further information click </w:t>
            </w:r>
            <w:hyperlink r:id="rId20" w:history="1">
              <w:r w:rsidRPr="005022D4">
                <w:rPr>
                  <w:rStyle w:val="Hyperlink"/>
                  <w:rFonts w:asciiTheme="minorHAnsi" w:hAnsiTheme="minorHAnsi" w:cstheme="minorHAnsi"/>
                  <w:sz w:val="20"/>
                  <w:szCs w:val="20"/>
                  <w:shd w:val="clear" w:color="auto" w:fill="FFFFFF"/>
                </w:rPr>
                <w:t>here</w:t>
              </w:r>
            </w:hyperlink>
          </w:p>
          <w:p w:rsidR="005022D4" w:rsidRPr="005022D4" w:rsidRDefault="005022D4" w:rsidP="005022D4">
            <w:pPr>
              <w:shd w:val="clear" w:color="auto" w:fill="FFFFFF"/>
              <w:spacing w:after="0" w:line="240" w:lineRule="auto"/>
              <w:jc w:val="both"/>
              <w:textAlignment w:val="baseline"/>
              <w:outlineLvl w:val="0"/>
              <w:rPr>
                <w:rStyle w:val="Hyperlink"/>
                <w:rFonts w:asciiTheme="minorHAnsi" w:hAnsiTheme="minorHAnsi" w:cstheme="minorHAnsi"/>
                <w:sz w:val="20"/>
                <w:szCs w:val="20"/>
                <w:shd w:val="clear" w:color="auto" w:fill="FFFFFF"/>
              </w:rPr>
            </w:pPr>
          </w:p>
          <w:p w:rsidR="005022D4" w:rsidRPr="005022D4" w:rsidRDefault="005022D4" w:rsidP="005022D4">
            <w:pPr>
              <w:shd w:val="clear" w:color="auto" w:fill="FFFFFF"/>
              <w:spacing w:after="0" w:line="240" w:lineRule="auto"/>
              <w:jc w:val="both"/>
              <w:textAlignment w:val="baseline"/>
              <w:outlineLvl w:val="0"/>
              <w:rPr>
                <w:rFonts w:asciiTheme="minorHAnsi" w:eastAsia="Times New Roman" w:hAnsiTheme="minorHAnsi" w:cstheme="minorHAnsi"/>
                <w:b/>
                <w:bCs/>
                <w:color w:val="FF0000"/>
                <w:kern w:val="36"/>
                <w:lang w:eastAsia="en-GB"/>
              </w:rPr>
            </w:pPr>
            <w:r w:rsidRPr="005022D4">
              <w:rPr>
                <w:rStyle w:val="Hyperlink"/>
                <w:color w:val="FF0000"/>
                <w:sz w:val="20"/>
                <w:szCs w:val="20"/>
                <w:u w:val="none"/>
                <w:shd w:val="clear" w:color="auto" w:fill="FFFFFF"/>
              </w:rPr>
              <w:t xml:space="preserve">A template has been added to </w:t>
            </w:r>
            <w:proofErr w:type="spellStart"/>
            <w:r w:rsidRPr="005022D4">
              <w:rPr>
                <w:rStyle w:val="Hyperlink"/>
                <w:color w:val="FF0000"/>
                <w:sz w:val="20"/>
                <w:szCs w:val="20"/>
                <w:u w:val="none"/>
                <w:shd w:val="clear" w:color="auto" w:fill="FFFFFF"/>
              </w:rPr>
              <w:t>Emis</w:t>
            </w:r>
            <w:proofErr w:type="spellEnd"/>
            <w:r w:rsidRPr="005022D4">
              <w:rPr>
                <w:rStyle w:val="Hyperlink"/>
                <w:color w:val="FF0000"/>
                <w:sz w:val="20"/>
                <w:szCs w:val="20"/>
                <w:u w:val="none"/>
                <w:shd w:val="clear" w:color="auto" w:fill="FFFFFF"/>
              </w:rPr>
              <w:t xml:space="preserve"> so that during consultation all questions can be electronically filled in and recorded on the patient’s record. This template can </w:t>
            </w:r>
            <w:r w:rsidR="001F5580">
              <w:rPr>
                <w:rStyle w:val="Hyperlink"/>
                <w:color w:val="FF0000"/>
                <w:sz w:val="20"/>
                <w:szCs w:val="20"/>
                <w:u w:val="none"/>
                <w:shd w:val="clear" w:color="auto" w:fill="FFFFFF"/>
              </w:rPr>
              <w:t xml:space="preserve">be </w:t>
            </w:r>
            <w:r w:rsidRPr="005022D4">
              <w:rPr>
                <w:rStyle w:val="Hyperlink"/>
                <w:color w:val="FF0000"/>
                <w:sz w:val="20"/>
                <w:szCs w:val="20"/>
                <w:u w:val="none"/>
                <w:shd w:val="clear" w:color="auto" w:fill="FFFFFF"/>
              </w:rPr>
              <w:t>access</w:t>
            </w:r>
            <w:r w:rsidR="001F5580">
              <w:rPr>
                <w:rStyle w:val="Hyperlink"/>
                <w:color w:val="FF0000"/>
                <w:sz w:val="20"/>
                <w:szCs w:val="20"/>
                <w:u w:val="none"/>
                <w:shd w:val="clear" w:color="auto" w:fill="FFFFFF"/>
              </w:rPr>
              <w:t>ed</w:t>
            </w:r>
            <w:r w:rsidRPr="005022D4">
              <w:rPr>
                <w:rStyle w:val="Hyperlink"/>
                <w:color w:val="FF0000"/>
                <w:sz w:val="20"/>
                <w:szCs w:val="20"/>
                <w:u w:val="none"/>
                <w:shd w:val="clear" w:color="auto" w:fill="FFFFFF"/>
              </w:rPr>
              <w:t xml:space="preserve"> by typing in ‘Sodium Valproate’. </w:t>
            </w:r>
          </w:p>
          <w:p w:rsidR="00AF5A67" w:rsidRPr="00AF5A67" w:rsidRDefault="00AF5A67" w:rsidP="005022D4">
            <w:pPr>
              <w:shd w:val="clear" w:color="auto" w:fill="FFFFFF"/>
              <w:spacing w:after="0" w:line="240" w:lineRule="auto"/>
              <w:textAlignment w:val="baseline"/>
              <w:outlineLvl w:val="0"/>
              <w:rPr>
                <w:rFonts w:asciiTheme="minorHAnsi" w:hAnsiTheme="minorHAnsi" w:cstheme="minorHAnsi"/>
              </w:rPr>
            </w:pPr>
          </w:p>
        </w:tc>
      </w:tr>
      <w:tr w:rsidR="00A4216A" w:rsidRPr="00C20139" w:rsidTr="00A4216A">
        <w:trPr>
          <w:trHeight w:val="492"/>
        </w:trPr>
        <w:tc>
          <w:tcPr>
            <w:tcW w:w="2410" w:type="dxa"/>
            <w:tcBorders>
              <w:top w:val="outset" w:sz="6" w:space="0" w:color="000000" w:themeColor="text1"/>
              <w:left w:val="nil"/>
              <w:bottom w:val="outset" w:sz="6" w:space="0" w:color="000000" w:themeColor="text1"/>
              <w:right w:val="nil"/>
            </w:tcBorders>
            <w:shd w:val="clear" w:color="auto" w:fill="95B3D7" w:themeFill="accent1" w:themeFillTint="99"/>
            <w:tcMar>
              <w:top w:w="0" w:type="dxa"/>
              <w:left w:w="108" w:type="dxa"/>
              <w:bottom w:w="0" w:type="dxa"/>
              <w:right w:w="108" w:type="dxa"/>
            </w:tcMar>
          </w:tcPr>
          <w:p w:rsidR="00A4216A" w:rsidRDefault="003B3586" w:rsidP="00B66F1D">
            <w:pPr>
              <w:pStyle w:val="tagline"/>
              <w:rPr>
                <w:rFonts w:asciiTheme="minorHAnsi" w:hAnsiTheme="minorHAnsi" w:cstheme="minorHAnsi"/>
                <w:i w:val="0"/>
                <w:sz w:val="24"/>
                <w:szCs w:val="24"/>
              </w:rPr>
            </w:pPr>
            <w:r w:rsidRPr="003B3586">
              <w:rPr>
                <w:rFonts w:asciiTheme="minorHAnsi" w:hAnsiTheme="minorHAnsi" w:cstheme="minorHAnsi"/>
                <w:i w:val="0"/>
                <w:sz w:val="24"/>
                <w:szCs w:val="24"/>
              </w:rPr>
              <w:t>EU Exit Operational Guidance from the Department of Health and Social Care</w:t>
            </w:r>
          </w:p>
        </w:tc>
        <w:tc>
          <w:tcPr>
            <w:tcW w:w="8222" w:type="dxa"/>
            <w:tcBorders>
              <w:top w:val="outset" w:sz="6" w:space="0" w:color="000000" w:themeColor="text1"/>
              <w:left w:val="nil"/>
              <w:bottom w:val="outset" w:sz="6" w:space="0" w:color="000000" w:themeColor="text1"/>
              <w:right w:val="nil"/>
            </w:tcBorders>
            <w:shd w:val="clear" w:color="auto" w:fill="FFFFFF"/>
            <w:tcMar>
              <w:top w:w="0" w:type="dxa"/>
              <w:left w:w="108" w:type="dxa"/>
              <w:bottom w:w="0" w:type="dxa"/>
              <w:right w:w="108" w:type="dxa"/>
            </w:tcMar>
          </w:tcPr>
          <w:p w:rsidR="003B3586" w:rsidRPr="003B3586" w:rsidRDefault="003B3586" w:rsidP="003B3586">
            <w:pPr>
              <w:rPr>
                <w:rFonts w:asciiTheme="minorHAnsi" w:hAnsiTheme="minorHAnsi" w:cstheme="minorHAnsi"/>
                <w:sz w:val="20"/>
                <w:szCs w:val="20"/>
                <w:u w:val="single"/>
              </w:rPr>
            </w:pPr>
            <w:r w:rsidRPr="003B3586">
              <w:rPr>
                <w:rFonts w:asciiTheme="minorHAnsi" w:hAnsiTheme="minorHAnsi" w:cstheme="minorHAnsi"/>
                <w:sz w:val="20"/>
                <w:szCs w:val="20"/>
                <w:u w:val="single"/>
              </w:rPr>
              <w:t xml:space="preserve">The Health Secretary Matt Hancock has issued the following to all community pharmacies and GP practices: </w:t>
            </w:r>
          </w:p>
          <w:p w:rsidR="003B3586" w:rsidRPr="003B3586" w:rsidRDefault="003B3586" w:rsidP="003B3586">
            <w:pPr>
              <w:numPr>
                <w:ilvl w:val="0"/>
                <w:numId w:val="11"/>
              </w:numPr>
              <w:spacing w:before="100" w:beforeAutospacing="1" w:after="100" w:afterAutospacing="1" w:line="240" w:lineRule="auto"/>
              <w:ind w:left="0"/>
              <w:jc w:val="both"/>
              <w:rPr>
                <w:rFonts w:asciiTheme="minorHAnsi" w:hAnsiTheme="minorHAnsi" w:cstheme="minorHAnsi"/>
                <w:color w:val="000000" w:themeColor="text1"/>
                <w:sz w:val="20"/>
                <w:szCs w:val="20"/>
              </w:rPr>
            </w:pPr>
            <w:r w:rsidRPr="003B3586">
              <w:rPr>
                <w:rFonts w:asciiTheme="minorHAnsi" w:hAnsiTheme="minorHAnsi" w:cstheme="minorHAnsi"/>
                <w:color w:val="000000" w:themeColor="text1"/>
                <w:sz w:val="20"/>
                <w:szCs w:val="20"/>
              </w:rPr>
              <w:t>1. Community pharmacies (along with other healthcare providers) should </w:t>
            </w:r>
            <w:r w:rsidRPr="003B3586">
              <w:rPr>
                <w:rStyle w:val="Strong"/>
                <w:rFonts w:asciiTheme="minorHAnsi" w:hAnsiTheme="minorHAnsi" w:cstheme="minorHAnsi"/>
                <w:color w:val="000000" w:themeColor="text1"/>
                <w:sz w:val="20"/>
                <w:szCs w:val="20"/>
                <w:u w:val="single"/>
              </w:rPr>
              <w:t>not</w:t>
            </w:r>
            <w:r w:rsidRPr="003B3586">
              <w:rPr>
                <w:rFonts w:asciiTheme="minorHAnsi" w:hAnsiTheme="minorHAnsi" w:cstheme="minorHAnsi"/>
                <w:color w:val="000000" w:themeColor="text1"/>
                <w:sz w:val="20"/>
                <w:szCs w:val="20"/>
              </w:rPr>
              <w:t> stockpile additional medicines beyond their business as usual stock levels;</w:t>
            </w:r>
          </w:p>
          <w:p w:rsidR="003B3586" w:rsidRPr="003B3586" w:rsidRDefault="003B3586" w:rsidP="003B3586">
            <w:pPr>
              <w:numPr>
                <w:ilvl w:val="0"/>
                <w:numId w:val="11"/>
              </w:numPr>
              <w:spacing w:before="100" w:beforeAutospacing="1" w:after="100" w:afterAutospacing="1" w:line="240" w:lineRule="auto"/>
              <w:ind w:left="0"/>
              <w:rPr>
                <w:rFonts w:asciiTheme="minorHAnsi" w:hAnsiTheme="minorHAnsi" w:cstheme="minorHAnsi"/>
                <w:color w:val="000000" w:themeColor="text1"/>
                <w:sz w:val="20"/>
                <w:szCs w:val="20"/>
              </w:rPr>
            </w:pPr>
            <w:r w:rsidRPr="003B3586">
              <w:rPr>
                <w:rFonts w:asciiTheme="minorHAnsi" w:hAnsiTheme="minorHAnsi" w:cstheme="minorHAnsi"/>
                <w:color w:val="000000" w:themeColor="text1"/>
                <w:sz w:val="20"/>
                <w:szCs w:val="20"/>
              </w:rPr>
              <w:t>2. There is no need for clinicians to write longer NHS prescriptions;</w:t>
            </w:r>
          </w:p>
          <w:p w:rsidR="003B3586" w:rsidRPr="003B3586" w:rsidRDefault="003B3586" w:rsidP="003B3586">
            <w:pPr>
              <w:numPr>
                <w:ilvl w:val="0"/>
                <w:numId w:val="11"/>
              </w:numPr>
              <w:spacing w:before="100" w:beforeAutospacing="1" w:after="100" w:afterAutospacing="1" w:line="240" w:lineRule="auto"/>
              <w:ind w:left="0"/>
              <w:jc w:val="both"/>
              <w:rPr>
                <w:rFonts w:asciiTheme="minorHAnsi" w:hAnsiTheme="minorHAnsi" w:cstheme="minorHAnsi"/>
                <w:color w:val="000000" w:themeColor="text1"/>
                <w:sz w:val="20"/>
                <w:szCs w:val="20"/>
              </w:rPr>
            </w:pPr>
            <w:r w:rsidRPr="003B3586">
              <w:rPr>
                <w:rFonts w:asciiTheme="minorHAnsi" w:hAnsiTheme="minorHAnsi" w:cstheme="minorHAnsi"/>
                <w:color w:val="000000" w:themeColor="text1"/>
                <w:sz w:val="20"/>
                <w:szCs w:val="20"/>
              </w:rPr>
              <w:t>3. Local stockpiling is unnecessary and could cause shortages in other areas, which would put patient care at risk;</w:t>
            </w:r>
          </w:p>
          <w:p w:rsidR="003B3586" w:rsidRPr="003B3586" w:rsidRDefault="003B3586" w:rsidP="003B3586">
            <w:pPr>
              <w:numPr>
                <w:ilvl w:val="0"/>
                <w:numId w:val="11"/>
              </w:numPr>
              <w:spacing w:before="100" w:beforeAutospacing="1" w:after="100" w:afterAutospacing="1" w:line="240" w:lineRule="auto"/>
              <w:ind w:left="0"/>
              <w:jc w:val="both"/>
              <w:rPr>
                <w:rFonts w:asciiTheme="minorHAnsi" w:hAnsiTheme="minorHAnsi" w:cstheme="minorHAnsi"/>
                <w:color w:val="000000" w:themeColor="text1"/>
                <w:sz w:val="20"/>
                <w:szCs w:val="20"/>
              </w:rPr>
            </w:pPr>
            <w:r w:rsidRPr="003B3586">
              <w:rPr>
                <w:rFonts w:asciiTheme="minorHAnsi" w:hAnsiTheme="minorHAnsi" w:cstheme="minorHAnsi"/>
                <w:color w:val="000000" w:themeColor="text1"/>
                <w:sz w:val="20"/>
                <w:szCs w:val="20"/>
              </w:rPr>
              <w:t>4. Any incidences involving the over-ordering of medicines would be investigated and followed up with the relevant Chief or Responsible Pharmacist directly; and</w:t>
            </w:r>
          </w:p>
          <w:p w:rsidR="003B3586" w:rsidRPr="003B3586" w:rsidRDefault="003B3586" w:rsidP="003B3586">
            <w:pPr>
              <w:numPr>
                <w:ilvl w:val="0"/>
                <w:numId w:val="11"/>
              </w:numPr>
              <w:spacing w:before="100" w:beforeAutospacing="1" w:after="100" w:afterAutospacing="1" w:line="240" w:lineRule="auto"/>
              <w:ind w:left="0"/>
              <w:jc w:val="both"/>
              <w:rPr>
                <w:rFonts w:asciiTheme="minorHAnsi" w:hAnsiTheme="minorHAnsi" w:cstheme="minorHAnsi"/>
                <w:color w:val="000000" w:themeColor="text1"/>
                <w:sz w:val="20"/>
                <w:szCs w:val="20"/>
              </w:rPr>
            </w:pPr>
            <w:r w:rsidRPr="003B3586">
              <w:rPr>
                <w:rFonts w:asciiTheme="minorHAnsi" w:hAnsiTheme="minorHAnsi" w:cstheme="minorHAnsi"/>
                <w:color w:val="000000" w:themeColor="text1"/>
                <w:sz w:val="20"/>
                <w:szCs w:val="20"/>
              </w:rPr>
              <w:t>5. If asked, patients should be advised not to store additional medicines at home because the Government is working with industry to ensure a continued supply of medicines.</w:t>
            </w:r>
          </w:p>
          <w:p w:rsidR="00A4216A" w:rsidRPr="003B3586" w:rsidRDefault="00A4216A" w:rsidP="005022D4">
            <w:pPr>
              <w:shd w:val="clear" w:color="auto" w:fill="FFFFFF"/>
              <w:spacing w:after="0" w:line="240" w:lineRule="auto"/>
              <w:textAlignment w:val="baseline"/>
              <w:outlineLvl w:val="0"/>
              <w:rPr>
                <w:rFonts w:asciiTheme="minorHAnsi" w:hAnsiTheme="minorHAnsi" w:cstheme="minorHAnsi"/>
                <w:color w:val="0B0C0C"/>
                <w:sz w:val="20"/>
                <w:szCs w:val="20"/>
                <w:shd w:val="clear" w:color="auto" w:fill="FFFFFF"/>
              </w:rPr>
            </w:pPr>
          </w:p>
        </w:tc>
      </w:tr>
    </w:tbl>
    <w:p w:rsidR="00066067" w:rsidRDefault="00066067"/>
    <w:p w:rsidR="003B3586" w:rsidRDefault="003B3586"/>
    <w:p w:rsidR="003B3586" w:rsidRDefault="003B3586"/>
    <w:tbl>
      <w:tblPr>
        <w:tblpPr w:leftFromText="180" w:rightFromText="180" w:vertAnchor="text" w:horzAnchor="margin" w:tblpX="-601" w:tblpY="572"/>
        <w:tblOverlap w:val="never"/>
        <w:tblW w:w="10598" w:type="dxa"/>
        <w:tblCellMar>
          <w:left w:w="0" w:type="dxa"/>
          <w:right w:w="0" w:type="dxa"/>
        </w:tblCellMar>
        <w:tblLook w:val="00A0" w:firstRow="1" w:lastRow="0" w:firstColumn="1" w:lastColumn="0" w:noHBand="0" w:noVBand="0"/>
      </w:tblPr>
      <w:tblGrid>
        <w:gridCol w:w="2376"/>
        <w:gridCol w:w="8222"/>
      </w:tblGrid>
      <w:tr w:rsidR="004176BD" w:rsidRPr="009507E5" w:rsidTr="00640F2B">
        <w:trPr>
          <w:trHeight w:val="321"/>
        </w:trPr>
        <w:tc>
          <w:tcPr>
            <w:tcW w:w="10598" w:type="dxa"/>
            <w:gridSpan w:val="2"/>
            <w:tcBorders>
              <w:top w:val="nil"/>
              <w:left w:val="nil"/>
              <w:bottom w:val="single" w:sz="4" w:space="0" w:color="auto"/>
              <w:right w:val="nil"/>
            </w:tcBorders>
            <w:shd w:val="clear" w:color="auto" w:fill="002060"/>
            <w:tcMar>
              <w:top w:w="0" w:type="dxa"/>
              <w:left w:w="108" w:type="dxa"/>
              <w:bottom w:w="0" w:type="dxa"/>
              <w:right w:w="108" w:type="dxa"/>
            </w:tcMar>
          </w:tcPr>
          <w:p w:rsidR="004176BD" w:rsidRPr="00392E8D" w:rsidRDefault="004176BD" w:rsidP="00640F2B">
            <w:pPr>
              <w:spacing w:after="0" w:line="240" w:lineRule="auto"/>
              <w:jc w:val="both"/>
              <w:rPr>
                <w:rFonts w:asciiTheme="minorHAnsi" w:hAnsiTheme="minorHAnsi"/>
                <w:b/>
                <w:lang w:eastAsia="en-GB"/>
              </w:rPr>
            </w:pPr>
            <w:r w:rsidRPr="00392E8D">
              <w:rPr>
                <w:rFonts w:asciiTheme="minorHAnsi" w:hAnsiTheme="minorHAnsi"/>
                <w:b/>
                <w:lang w:eastAsia="en-GB"/>
              </w:rPr>
              <w:lastRenderedPageBreak/>
              <w:t>Formulary News – website -</w:t>
            </w:r>
            <w:r w:rsidRPr="00392E8D">
              <w:rPr>
                <w:rFonts w:asciiTheme="minorHAnsi" w:hAnsiTheme="minorHAnsi"/>
                <w:b/>
                <w:color w:val="FFFF00"/>
                <w:lang w:eastAsia="en-GB"/>
              </w:rPr>
              <w:t xml:space="preserve"> </w:t>
            </w:r>
            <w:hyperlink r:id="rId21" w:history="1">
              <w:r w:rsidRPr="00392E8D">
                <w:rPr>
                  <w:rStyle w:val="Hyperlink"/>
                  <w:rFonts w:asciiTheme="minorHAnsi" w:hAnsiTheme="minorHAnsi"/>
                  <w:b/>
                  <w:color w:val="FFFF00"/>
                  <w:lang w:eastAsia="en-GB"/>
                </w:rPr>
                <w:t>http://www.shropshireccg.nhs.uk/medicines-management</w:t>
              </w:r>
            </w:hyperlink>
          </w:p>
        </w:tc>
      </w:tr>
      <w:tr w:rsidR="004176BD" w:rsidRPr="009507E5" w:rsidTr="00640F2B">
        <w:trPr>
          <w:trHeight w:val="321"/>
        </w:trPr>
        <w:tc>
          <w:tcPr>
            <w:tcW w:w="2376" w:type="dxa"/>
            <w:tcBorders>
              <w:top w:val="single" w:sz="4" w:space="0" w:color="auto"/>
              <w:left w:val="nil"/>
              <w:bottom w:val="single" w:sz="4" w:space="0" w:color="auto"/>
              <w:right w:val="nil"/>
            </w:tcBorders>
            <w:shd w:val="clear" w:color="auto" w:fill="95B3D7" w:themeFill="accent1" w:themeFillTint="99"/>
            <w:tcMar>
              <w:top w:w="0" w:type="dxa"/>
              <w:left w:w="108" w:type="dxa"/>
              <w:bottom w:w="0" w:type="dxa"/>
              <w:right w:w="108" w:type="dxa"/>
            </w:tcMar>
          </w:tcPr>
          <w:p w:rsidR="004176BD" w:rsidRPr="004176BD" w:rsidRDefault="004176BD" w:rsidP="00CF0FFB">
            <w:pPr>
              <w:spacing w:after="0" w:line="240" w:lineRule="auto"/>
              <w:rPr>
                <w:rFonts w:asciiTheme="minorHAnsi" w:hAnsiTheme="minorHAnsi"/>
                <w:sz w:val="24"/>
                <w:szCs w:val="24"/>
                <w:lang w:eastAsia="en-GB"/>
              </w:rPr>
            </w:pPr>
            <w:r w:rsidRPr="004176BD">
              <w:rPr>
                <w:bCs/>
                <w:sz w:val="24"/>
                <w:szCs w:val="24"/>
              </w:rPr>
              <w:t xml:space="preserve">Supply Issues - </w:t>
            </w:r>
            <w:r w:rsidR="00CF0FFB">
              <w:t xml:space="preserve"> Clexane 40mg injection</w:t>
            </w:r>
          </w:p>
        </w:tc>
        <w:tc>
          <w:tcPr>
            <w:tcW w:w="8222" w:type="dxa"/>
            <w:tcBorders>
              <w:top w:val="single" w:sz="4" w:space="0" w:color="auto"/>
              <w:left w:val="nil"/>
              <w:bottom w:val="single" w:sz="4" w:space="0" w:color="auto"/>
              <w:right w:val="nil"/>
            </w:tcBorders>
            <w:shd w:val="clear" w:color="auto" w:fill="auto"/>
          </w:tcPr>
          <w:p w:rsidR="00CF0FFB" w:rsidRPr="00CF0FFB" w:rsidRDefault="0045628E" w:rsidP="001F5580">
            <w:pPr>
              <w:ind w:left="142" w:right="142"/>
              <w:jc w:val="both"/>
              <w:rPr>
                <w:sz w:val="20"/>
                <w:szCs w:val="20"/>
              </w:rPr>
            </w:pPr>
            <w:r>
              <w:rPr>
                <w:sz w:val="20"/>
                <w:szCs w:val="20"/>
              </w:rPr>
              <w:t xml:space="preserve">NHS England and DHSC have been contacted by Sanofi to report a </w:t>
            </w:r>
            <w:r w:rsidR="00CF0FFB" w:rsidRPr="00CF0FFB">
              <w:rPr>
                <w:sz w:val="20"/>
                <w:szCs w:val="20"/>
              </w:rPr>
              <w:t>quality issue with their most recent batch of Clexane 40mg injection. It is anticipated that</w:t>
            </w:r>
            <w:r w:rsidR="00CF0FFB" w:rsidRPr="001F5580">
              <w:rPr>
                <w:sz w:val="20"/>
                <w:szCs w:val="20"/>
              </w:rPr>
              <w:t xml:space="preserve"> </w:t>
            </w:r>
            <w:r w:rsidR="00CF0FFB" w:rsidRPr="00CF0FFB">
              <w:rPr>
                <w:sz w:val="20"/>
                <w:szCs w:val="20"/>
                <w:u w:val="single"/>
              </w:rPr>
              <w:t>all</w:t>
            </w:r>
            <w:r w:rsidR="00CF0FFB" w:rsidRPr="00CF0FFB">
              <w:rPr>
                <w:sz w:val="20"/>
                <w:szCs w:val="20"/>
              </w:rPr>
              <w:t xml:space="preserve"> wholesalers will be out of stock of Clexane 40mg injection by the end of the week with an anticipated resupply date of week commencing </w:t>
            </w:r>
            <w:r w:rsidR="00CF0FFB" w:rsidRPr="00CF0FFB">
              <w:rPr>
                <w:b/>
                <w:bCs/>
                <w:sz w:val="20"/>
                <w:szCs w:val="20"/>
              </w:rPr>
              <w:t>18 February 2019.</w:t>
            </w:r>
            <w:r w:rsidR="00CF0FFB" w:rsidRPr="00CF0FFB">
              <w:rPr>
                <w:sz w:val="20"/>
                <w:szCs w:val="20"/>
              </w:rPr>
              <w:t xml:space="preserve"> This date may be brought forward to end of January/early February if the current batch passes further QA testing. </w:t>
            </w:r>
          </w:p>
          <w:p w:rsidR="00CF0FFB" w:rsidRPr="00CF0FFB" w:rsidRDefault="00CF0FFB" w:rsidP="001F5580">
            <w:pPr>
              <w:ind w:left="142" w:right="142"/>
              <w:jc w:val="both"/>
              <w:rPr>
                <w:b/>
                <w:bCs/>
                <w:i/>
                <w:iCs/>
                <w:sz w:val="20"/>
                <w:szCs w:val="20"/>
              </w:rPr>
            </w:pPr>
            <w:r w:rsidRPr="00CF0FFB">
              <w:rPr>
                <w:b/>
                <w:bCs/>
                <w:i/>
                <w:iCs/>
                <w:sz w:val="20"/>
                <w:szCs w:val="20"/>
              </w:rPr>
              <w:t xml:space="preserve">Alternatives available </w:t>
            </w:r>
          </w:p>
          <w:p w:rsidR="00CF0FFB" w:rsidRPr="00CF0FFB" w:rsidRDefault="00CF0FFB" w:rsidP="001F5580">
            <w:pPr>
              <w:ind w:left="142" w:right="142"/>
              <w:jc w:val="both"/>
              <w:rPr>
                <w:sz w:val="20"/>
                <w:szCs w:val="20"/>
              </w:rPr>
            </w:pPr>
            <w:r w:rsidRPr="00CF0FFB">
              <w:rPr>
                <w:sz w:val="20"/>
                <w:szCs w:val="20"/>
              </w:rPr>
              <w:t>CMU have been in contact with the suppliers of Enoxaparin biosimilar agents and the following information is available:</w:t>
            </w:r>
          </w:p>
          <w:p w:rsidR="00CF0FFB" w:rsidRPr="00CF0FFB" w:rsidRDefault="00CF0FFB" w:rsidP="001F5580">
            <w:pPr>
              <w:numPr>
                <w:ilvl w:val="0"/>
                <w:numId w:val="5"/>
              </w:numPr>
              <w:spacing w:after="0" w:line="240" w:lineRule="auto"/>
              <w:ind w:left="142" w:right="142"/>
              <w:jc w:val="both"/>
              <w:rPr>
                <w:rFonts w:eastAsia="Times New Roman"/>
                <w:b/>
                <w:bCs/>
                <w:sz w:val="20"/>
                <w:szCs w:val="20"/>
              </w:rPr>
            </w:pPr>
            <w:proofErr w:type="spellStart"/>
            <w:r w:rsidRPr="00CF0FFB">
              <w:rPr>
                <w:rFonts w:eastAsia="Times New Roman"/>
                <w:b/>
                <w:bCs/>
                <w:sz w:val="20"/>
                <w:szCs w:val="20"/>
              </w:rPr>
              <w:t>Inhixa</w:t>
            </w:r>
            <w:proofErr w:type="spellEnd"/>
            <w:r w:rsidRPr="00CF0FFB">
              <w:rPr>
                <w:rFonts w:eastAsia="Times New Roman"/>
                <w:b/>
                <w:bCs/>
                <w:sz w:val="20"/>
                <w:szCs w:val="20"/>
              </w:rPr>
              <w:t xml:space="preserve"> (</w:t>
            </w:r>
            <w:proofErr w:type="spellStart"/>
            <w:r w:rsidRPr="00CF0FFB">
              <w:rPr>
                <w:rFonts w:eastAsia="Times New Roman"/>
                <w:b/>
                <w:bCs/>
                <w:sz w:val="20"/>
                <w:szCs w:val="20"/>
              </w:rPr>
              <w:t>Techdow</w:t>
            </w:r>
            <w:proofErr w:type="spellEnd"/>
            <w:r w:rsidRPr="00CF0FFB">
              <w:rPr>
                <w:rFonts w:eastAsia="Times New Roman"/>
                <w:b/>
                <w:bCs/>
                <w:sz w:val="20"/>
                <w:szCs w:val="20"/>
              </w:rPr>
              <w:t>)</w:t>
            </w:r>
          </w:p>
          <w:p w:rsidR="00CF0FFB" w:rsidRPr="0045628E" w:rsidRDefault="00CF0FFB" w:rsidP="001F5580">
            <w:pPr>
              <w:ind w:left="142" w:right="142"/>
              <w:jc w:val="both"/>
              <w:rPr>
                <w:rFonts w:eastAsiaTheme="minorHAnsi"/>
                <w:sz w:val="20"/>
                <w:szCs w:val="20"/>
              </w:rPr>
            </w:pPr>
            <w:proofErr w:type="spellStart"/>
            <w:r w:rsidRPr="00CF0FFB">
              <w:rPr>
                <w:sz w:val="20"/>
                <w:szCs w:val="20"/>
              </w:rPr>
              <w:t>Techdow</w:t>
            </w:r>
            <w:proofErr w:type="spellEnd"/>
            <w:r w:rsidRPr="00CF0FFB">
              <w:rPr>
                <w:sz w:val="20"/>
                <w:szCs w:val="20"/>
              </w:rPr>
              <w:t xml:space="preserve"> have confirmed that they have sufficient </w:t>
            </w:r>
            <w:proofErr w:type="spellStart"/>
            <w:r w:rsidRPr="00CF0FFB">
              <w:rPr>
                <w:sz w:val="20"/>
                <w:szCs w:val="20"/>
              </w:rPr>
              <w:t>Inhixa</w:t>
            </w:r>
            <w:proofErr w:type="spellEnd"/>
            <w:r w:rsidRPr="00CF0FFB">
              <w:rPr>
                <w:sz w:val="20"/>
                <w:szCs w:val="20"/>
              </w:rPr>
              <w:t xml:space="preserve"> 40mg injection to cover 100% of Clexane 40mg injection forecasted demand. If you wish to switch Clexane 40mg use to </w:t>
            </w:r>
            <w:proofErr w:type="spellStart"/>
            <w:r w:rsidRPr="00CF0FFB">
              <w:rPr>
                <w:sz w:val="20"/>
                <w:szCs w:val="20"/>
              </w:rPr>
              <w:t>Inhixa</w:t>
            </w:r>
            <w:proofErr w:type="spellEnd"/>
            <w:r w:rsidRPr="00CF0FFB">
              <w:rPr>
                <w:sz w:val="20"/>
                <w:szCs w:val="20"/>
              </w:rPr>
              <w:t xml:space="preserve"> please contact Jo Phillips </w:t>
            </w:r>
            <w:hyperlink r:id="rId22" w:history="1">
              <w:r w:rsidRPr="00CF0FFB">
                <w:rPr>
                  <w:rStyle w:val="Hyperlink"/>
                  <w:sz w:val="20"/>
                  <w:szCs w:val="20"/>
                </w:rPr>
                <w:t>jo.phillips@uk.techdow.com</w:t>
              </w:r>
            </w:hyperlink>
            <w:r w:rsidRPr="00CF0FFB">
              <w:rPr>
                <w:sz w:val="20"/>
                <w:szCs w:val="20"/>
              </w:rPr>
              <w:t xml:space="preserve"> 07540</w:t>
            </w:r>
            <w:r w:rsidR="001F5580">
              <w:rPr>
                <w:sz w:val="20"/>
                <w:szCs w:val="20"/>
              </w:rPr>
              <w:t xml:space="preserve"> </w:t>
            </w:r>
            <w:r w:rsidRPr="00CF0FFB">
              <w:rPr>
                <w:sz w:val="20"/>
                <w:szCs w:val="20"/>
              </w:rPr>
              <w:t>979066 with your average weekly ordering volumes (in singles</w:t>
            </w:r>
            <w:proofErr w:type="gramStart"/>
            <w:r w:rsidRPr="00CF0FFB">
              <w:rPr>
                <w:sz w:val="20"/>
                <w:szCs w:val="20"/>
              </w:rPr>
              <w:t>)and</w:t>
            </w:r>
            <w:proofErr w:type="gramEnd"/>
            <w:r w:rsidRPr="00CF0FFB">
              <w:rPr>
                <w:sz w:val="20"/>
                <w:szCs w:val="20"/>
              </w:rPr>
              <w:t xml:space="preserve"> they will confirm if they can support your trust with this request. Please obtain this authorisation BEFORE placing orders at the wholesalers. </w:t>
            </w:r>
          </w:p>
          <w:p w:rsidR="00CF0FFB" w:rsidRPr="00CF0FFB" w:rsidRDefault="00CF0FFB" w:rsidP="001F5580">
            <w:pPr>
              <w:numPr>
                <w:ilvl w:val="0"/>
                <w:numId w:val="6"/>
              </w:numPr>
              <w:spacing w:after="0" w:line="240" w:lineRule="auto"/>
              <w:ind w:left="142" w:right="142"/>
              <w:jc w:val="both"/>
              <w:rPr>
                <w:rFonts w:eastAsia="Times New Roman"/>
                <w:b/>
                <w:bCs/>
                <w:sz w:val="20"/>
                <w:szCs w:val="20"/>
              </w:rPr>
            </w:pPr>
            <w:proofErr w:type="spellStart"/>
            <w:r w:rsidRPr="00CF0FFB">
              <w:rPr>
                <w:rFonts w:eastAsia="Times New Roman"/>
                <w:b/>
                <w:bCs/>
                <w:sz w:val="20"/>
                <w:szCs w:val="20"/>
              </w:rPr>
              <w:t>Arovi</w:t>
            </w:r>
            <w:proofErr w:type="spellEnd"/>
            <w:r w:rsidRPr="00CF0FFB">
              <w:rPr>
                <w:rFonts w:eastAsia="Times New Roman"/>
                <w:b/>
                <w:bCs/>
                <w:sz w:val="20"/>
                <w:szCs w:val="20"/>
              </w:rPr>
              <w:t xml:space="preserve"> (</w:t>
            </w:r>
            <w:proofErr w:type="spellStart"/>
            <w:r w:rsidRPr="00CF0FFB">
              <w:rPr>
                <w:rFonts w:eastAsia="Times New Roman"/>
                <w:b/>
                <w:bCs/>
                <w:sz w:val="20"/>
                <w:szCs w:val="20"/>
              </w:rPr>
              <w:t>Rovi</w:t>
            </w:r>
            <w:proofErr w:type="spellEnd"/>
            <w:r w:rsidRPr="00CF0FFB">
              <w:rPr>
                <w:rFonts w:eastAsia="Times New Roman"/>
                <w:b/>
                <w:bCs/>
                <w:sz w:val="20"/>
                <w:szCs w:val="20"/>
              </w:rPr>
              <w:t xml:space="preserve"> Biotech)</w:t>
            </w:r>
          </w:p>
          <w:p w:rsidR="00CF0FFB" w:rsidRPr="00CF0FFB" w:rsidRDefault="00CF0FFB" w:rsidP="001F5580">
            <w:pPr>
              <w:ind w:left="142" w:right="142"/>
              <w:jc w:val="both"/>
              <w:rPr>
                <w:rFonts w:eastAsiaTheme="minorHAnsi"/>
                <w:sz w:val="20"/>
                <w:szCs w:val="20"/>
              </w:rPr>
            </w:pPr>
            <w:proofErr w:type="spellStart"/>
            <w:r w:rsidRPr="00CF0FFB">
              <w:rPr>
                <w:sz w:val="20"/>
                <w:szCs w:val="20"/>
              </w:rPr>
              <w:t>Rovi</w:t>
            </w:r>
            <w:proofErr w:type="spellEnd"/>
            <w:r w:rsidRPr="00CF0FFB">
              <w:rPr>
                <w:sz w:val="20"/>
                <w:szCs w:val="20"/>
              </w:rPr>
              <w:t xml:space="preserve"> Biotech </w:t>
            </w:r>
            <w:proofErr w:type="gramStart"/>
            <w:r w:rsidRPr="00CF0FFB">
              <w:rPr>
                <w:sz w:val="20"/>
                <w:szCs w:val="20"/>
              </w:rPr>
              <w:t>have</w:t>
            </w:r>
            <w:proofErr w:type="gramEnd"/>
            <w:r w:rsidRPr="00CF0FFB">
              <w:rPr>
                <w:sz w:val="20"/>
                <w:szCs w:val="20"/>
              </w:rPr>
              <w:t xml:space="preserve"> confirmed that they have sufficient </w:t>
            </w:r>
            <w:proofErr w:type="spellStart"/>
            <w:r w:rsidRPr="00CF0FFB">
              <w:rPr>
                <w:sz w:val="20"/>
                <w:szCs w:val="20"/>
              </w:rPr>
              <w:t>Rovi</w:t>
            </w:r>
            <w:proofErr w:type="spellEnd"/>
            <w:r w:rsidRPr="00CF0FFB">
              <w:rPr>
                <w:sz w:val="20"/>
                <w:szCs w:val="20"/>
              </w:rPr>
              <w:t xml:space="preserve"> 40mg injection to cover 17% of Clexane 40mg injection demand. If you wish to switch Clexane 40mg use to </w:t>
            </w:r>
            <w:proofErr w:type="spellStart"/>
            <w:r w:rsidRPr="00CF0FFB">
              <w:rPr>
                <w:sz w:val="20"/>
                <w:szCs w:val="20"/>
              </w:rPr>
              <w:t>Arovi</w:t>
            </w:r>
            <w:proofErr w:type="spellEnd"/>
            <w:r w:rsidRPr="00CF0FFB">
              <w:rPr>
                <w:sz w:val="20"/>
                <w:szCs w:val="20"/>
              </w:rPr>
              <w:t xml:space="preserve"> please contact Blanca Esteban </w:t>
            </w:r>
            <w:hyperlink r:id="rId23" w:history="1">
              <w:r w:rsidRPr="00CF0FFB">
                <w:rPr>
                  <w:rStyle w:val="Hyperlink"/>
                  <w:sz w:val="20"/>
                  <w:szCs w:val="20"/>
                </w:rPr>
                <w:t>besteban@rovi.com</w:t>
              </w:r>
            </w:hyperlink>
            <w:r w:rsidRPr="00CF0FFB">
              <w:rPr>
                <w:sz w:val="20"/>
                <w:szCs w:val="20"/>
              </w:rPr>
              <w:t xml:space="preserve"> Mob: 07557</w:t>
            </w:r>
            <w:r w:rsidR="001F5580">
              <w:rPr>
                <w:sz w:val="20"/>
                <w:szCs w:val="20"/>
              </w:rPr>
              <w:t xml:space="preserve"> </w:t>
            </w:r>
            <w:bookmarkStart w:id="0" w:name="_GoBack"/>
            <w:bookmarkEnd w:id="0"/>
            <w:r w:rsidRPr="00CF0FFB">
              <w:rPr>
                <w:sz w:val="20"/>
                <w:szCs w:val="20"/>
              </w:rPr>
              <w:t xml:space="preserve">673805 with your average weekly ordering volumes (in singles) and she will confirm if they can support your trust with this request. Please obtain this authorisation BEFORE placing orders at the wholesalers. </w:t>
            </w:r>
          </w:p>
          <w:p w:rsidR="00CF0FFB" w:rsidRPr="00CF0FFB" w:rsidRDefault="00CF0FFB" w:rsidP="001F5580">
            <w:pPr>
              <w:numPr>
                <w:ilvl w:val="0"/>
                <w:numId w:val="7"/>
              </w:numPr>
              <w:spacing w:after="0" w:line="240" w:lineRule="auto"/>
              <w:ind w:left="142" w:right="142"/>
              <w:jc w:val="both"/>
              <w:rPr>
                <w:rFonts w:eastAsia="Times New Roman"/>
                <w:b/>
                <w:bCs/>
                <w:sz w:val="20"/>
                <w:szCs w:val="20"/>
              </w:rPr>
            </w:pPr>
            <w:r w:rsidRPr="00CF0FFB">
              <w:rPr>
                <w:rFonts w:eastAsia="Times New Roman"/>
                <w:b/>
                <w:bCs/>
                <w:sz w:val="20"/>
                <w:szCs w:val="20"/>
              </w:rPr>
              <w:t>Clexane (Sanofi)</w:t>
            </w:r>
          </w:p>
          <w:p w:rsidR="00CF0FFB" w:rsidRPr="00CF0FFB" w:rsidRDefault="00CF0FFB" w:rsidP="001F5580">
            <w:pPr>
              <w:ind w:left="142" w:right="142"/>
              <w:jc w:val="both"/>
              <w:rPr>
                <w:rFonts w:eastAsiaTheme="minorHAnsi"/>
                <w:sz w:val="20"/>
                <w:szCs w:val="20"/>
              </w:rPr>
            </w:pPr>
            <w:r w:rsidRPr="00CF0FFB">
              <w:rPr>
                <w:sz w:val="20"/>
                <w:szCs w:val="20"/>
              </w:rPr>
              <w:t>Over the past 2 weeks Sanofi have imported Clexane 40mg stock from Italy to help cover an anticipated shortfall in stock. Thi</w:t>
            </w:r>
            <w:r w:rsidR="0045628E">
              <w:rPr>
                <w:sz w:val="20"/>
                <w:szCs w:val="20"/>
              </w:rPr>
              <w:t>s product is imported </w:t>
            </w:r>
            <w:r w:rsidRPr="00CF0FFB">
              <w:rPr>
                <w:sz w:val="20"/>
                <w:szCs w:val="20"/>
              </w:rPr>
              <w:t>under a batch specific variation to the UK and is therefore classed as licensed in the UK. Sanofi are working with the MHRA and this product should be available to order from the 23</w:t>
            </w:r>
            <w:r w:rsidRPr="00CF0FFB">
              <w:rPr>
                <w:sz w:val="20"/>
                <w:szCs w:val="20"/>
                <w:vertAlign w:val="superscript"/>
              </w:rPr>
              <w:t>rd</w:t>
            </w:r>
            <w:r w:rsidRPr="00CF0FFB">
              <w:rPr>
                <w:sz w:val="20"/>
                <w:szCs w:val="20"/>
              </w:rPr>
              <w:t xml:space="preserve"> January 2019. </w:t>
            </w:r>
          </w:p>
          <w:p w:rsidR="00CF0FFB" w:rsidRPr="004176BD" w:rsidRDefault="00CF0FFB" w:rsidP="00CF0FFB">
            <w:pPr>
              <w:pStyle w:val="Default"/>
              <w:rPr>
                <w:rFonts w:asciiTheme="minorHAnsi" w:hAnsiTheme="minorHAnsi"/>
                <w:sz w:val="20"/>
                <w:szCs w:val="20"/>
                <w:lang w:eastAsia="en-GB"/>
              </w:rPr>
            </w:pPr>
          </w:p>
        </w:tc>
      </w:tr>
    </w:tbl>
    <w:p w:rsidR="004176BD" w:rsidRDefault="004176BD"/>
    <w:sectPr w:rsidR="004176BD">
      <w:headerReference w:type="default" r:id="rId2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6067" w:rsidRDefault="00066067" w:rsidP="00066067">
      <w:pPr>
        <w:spacing w:after="0" w:line="240" w:lineRule="auto"/>
      </w:pPr>
      <w:r>
        <w:separator/>
      </w:r>
    </w:p>
  </w:endnote>
  <w:endnote w:type="continuationSeparator" w:id="0">
    <w:p w:rsidR="00066067" w:rsidRDefault="00066067" w:rsidP="00066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067" w:rsidRDefault="004912AB" w:rsidP="00AB7274">
    <w:pPr>
      <w:pStyle w:val="Footer"/>
    </w:pPr>
    <w:r>
      <w:t>January</w:t>
    </w:r>
    <w:r w:rsidR="00AE4342">
      <w:t xml:space="preserve"> </w:t>
    </w:r>
    <w:r>
      <w:t>2019</w:t>
    </w:r>
    <w:r w:rsidR="00066067">
      <w:ptab w:relativeTo="margin" w:alignment="center" w:leader="none"/>
    </w:r>
    <w:r w:rsidR="00066067">
      <w:ptab w:relativeTo="margin" w:alignment="right" w:leader="none"/>
    </w:r>
    <w:r w:rsidR="00066067">
      <w:rPr>
        <w:noProof/>
        <w:lang w:eastAsia="en-GB"/>
      </w:rPr>
      <w:drawing>
        <wp:inline distT="0" distB="0" distL="0" distR="0" wp14:anchorId="6A4A1A76" wp14:editId="37E6147B">
          <wp:extent cx="619125" cy="4857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48577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6067" w:rsidRDefault="00066067" w:rsidP="00066067">
      <w:pPr>
        <w:spacing w:after="0" w:line="240" w:lineRule="auto"/>
      </w:pPr>
      <w:r>
        <w:separator/>
      </w:r>
    </w:p>
  </w:footnote>
  <w:footnote w:type="continuationSeparator" w:id="0">
    <w:p w:rsidR="00066067" w:rsidRDefault="00066067" w:rsidP="000660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067" w:rsidRDefault="00066067" w:rsidP="00066067">
    <w:pPr>
      <w:pStyle w:val="Header"/>
      <w:jc w:val="right"/>
    </w:pPr>
    <w:r>
      <w:rPr>
        <w:noProof/>
        <w:lang w:eastAsia="en-GB"/>
      </w:rPr>
      <w:drawing>
        <wp:inline distT="0" distB="0" distL="0" distR="0" wp14:anchorId="65CDCDF6" wp14:editId="23634C9B">
          <wp:extent cx="1536700" cy="415217"/>
          <wp:effectExtent l="0" t="0" r="635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ropshireCCG COL_2.jpg"/>
                  <pic:cNvPicPr/>
                </pic:nvPicPr>
                <pic:blipFill>
                  <a:blip r:embed="rId1">
                    <a:extLst>
                      <a:ext uri="{28A0092B-C50C-407E-A947-70E740481C1C}">
                        <a14:useLocalDpi xmlns:a14="http://schemas.microsoft.com/office/drawing/2010/main" val="0"/>
                      </a:ext>
                    </a:extLst>
                  </a:blip>
                  <a:stretch>
                    <a:fillRect/>
                  </a:stretch>
                </pic:blipFill>
                <pic:spPr>
                  <a:xfrm>
                    <a:off x="0" y="0"/>
                    <a:ext cx="1553244" cy="419687"/>
                  </a:xfrm>
                  <a:prstGeom prst="rect">
                    <a:avLst/>
                  </a:prstGeom>
                </pic:spPr>
              </pic:pic>
            </a:graphicData>
          </a:graphic>
        </wp:inline>
      </w:drawing>
    </w:r>
  </w:p>
  <w:p w:rsidR="00066067" w:rsidRDefault="000660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1.95pt;height:43.2pt" o:bullet="t">
        <v:imagedata r:id="rId1" o:title="Finance bullet point"/>
      </v:shape>
    </w:pict>
  </w:numPicBullet>
  <w:abstractNum w:abstractNumId="0">
    <w:nsid w:val="03F20713"/>
    <w:multiLevelType w:val="hybridMultilevel"/>
    <w:tmpl w:val="3ECECE36"/>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
    <w:nsid w:val="05972BF4"/>
    <w:multiLevelType w:val="multilevel"/>
    <w:tmpl w:val="B100C8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088B6998"/>
    <w:multiLevelType w:val="hybridMultilevel"/>
    <w:tmpl w:val="7CCC1E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nsid w:val="0DAB7CC9"/>
    <w:multiLevelType w:val="multilevel"/>
    <w:tmpl w:val="FF0AC8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325F1837"/>
    <w:multiLevelType w:val="multilevel"/>
    <w:tmpl w:val="42FC29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DF85E28"/>
    <w:multiLevelType w:val="multilevel"/>
    <w:tmpl w:val="DC3C7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3E550A1"/>
    <w:multiLevelType w:val="hybridMultilevel"/>
    <w:tmpl w:val="F1F4D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1A2412D"/>
    <w:multiLevelType w:val="multilevel"/>
    <w:tmpl w:val="59B616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62D139DB"/>
    <w:multiLevelType w:val="multilevel"/>
    <w:tmpl w:val="78586D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nsid w:val="737D4F65"/>
    <w:multiLevelType w:val="hybridMultilevel"/>
    <w:tmpl w:val="560A3468"/>
    <w:lvl w:ilvl="0" w:tplc="CE122A36">
      <w:start w:val="1"/>
      <w:numFmt w:val="bullet"/>
      <w:lvlText w:val=""/>
      <w:lvlPicBulletId w:val="0"/>
      <w:lvlJc w:val="left"/>
      <w:pPr>
        <w:ind w:left="360" w:hanging="360"/>
      </w:pPr>
      <w:rPr>
        <w:rFonts w:ascii="Symbol" w:hAnsi="Symbol" w:hint="default"/>
        <w:strike w:val="0"/>
        <w:dstrike w:val="0"/>
        <w:color w:val="auto"/>
        <w:sz w:val="20"/>
        <w:szCs w:val="20"/>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8"/>
  </w:num>
  <w:num w:numId="7">
    <w:abstractNumId w:val="7"/>
  </w:num>
  <w:num w:numId="8">
    <w:abstractNumId w:val="9"/>
  </w:num>
  <w:num w:numId="9">
    <w:abstractNumId w:val="2"/>
  </w:num>
  <w:num w:numId="10">
    <w:abstractNumId w:val="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067"/>
    <w:rsid w:val="00035A25"/>
    <w:rsid w:val="0004198E"/>
    <w:rsid w:val="00057F17"/>
    <w:rsid w:val="00066067"/>
    <w:rsid w:val="000C4467"/>
    <w:rsid w:val="000E3D1C"/>
    <w:rsid w:val="000E6D5E"/>
    <w:rsid w:val="00154A7B"/>
    <w:rsid w:val="00190FE8"/>
    <w:rsid w:val="001B71DF"/>
    <w:rsid w:val="001C6020"/>
    <w:rsid w:val="001F5580"/>
    <w:rsid w:val="00204A00"/>
    <w:rsid w:val="00224B5F"/>
    <w:rsid w:val="00255A38"/>
    <w:rsid w:val="002728F6"/>
    <w:rsid w:val="002C1776"/>
    <w:rsid w:val="0038797D"/>
    <w:rsid w:val="003A1127"/>
    <w:rsid w:val="003B3586"/>
    <w:rsid w:val="003C0683"/>
    <w:rsid w:val="004176BD"/>
    <w:rsid w:val="0045628E"/>
    <w:rsid w:val="004912AB"/>
    <w:rsid w:val="004E0BC3"/>
    <w:rsid w:val="005022D4"/>
    <w:rsid w:val="005108C5"/>
    <w:rsid w:val="00526B1B"/>
    <w:rsid w:val="00541287"/>
    <w:rsid w:val="00556956"/>
    <w:rsid w:val="0058600B"/>
    <w:rsid w:val="005C4FE3"/>
    <w:rsid w:val="005D7E6E"/>
    <w:rsid w:val="005F70B6"/>
    <w:rsid w:val="006025D6"/>
    <w:rsid w:val="006420A1"/>
    <w:rsid w:val="006532B5"/>
    <w:rsid w:val="006709E7"/>
    <w:rsid w:val="006923B1"/>
    <w:rsid w:val="006C46E9"/>
    <w:rsid w:val="006E283E"/>
    <w:rsid w:val="00704A7D"/>
    <w:rsid w:val="007A75AC"/>
    <w:rsid w:val="00841326"/>
    <w:rsid w:val="008445A1"/>
    <w:rsid w:val="008B2269"/>
    <w:rsid w:val="008E63EA"/>
    <w:rsid w:val="008F1A07"/>
    <w:rsid w:val="0091480F"/>
    <w:rsid w:val="00934F84"/>
    <w:rsid w:val="00984E52"/>
    <w:rsid w:val="00A36A9F"/>
    <w:rsid w:val="00A4216A"/>
    <w:rsid w:val="00A6252E"/>
    <w:rsid w:val="00A6647A"/>
    <w:rsid w:val="00A9794C"/>
    <w:rsid w:val="00AB7274"/>
    <w:rsid w:val="00AE4342"/>
    <w:rsid w:val="00AF5A67"/>
    <w:rsid w:val="00B66F1D"/>
    <w:rsid w:val="00B85605"/>
    <w:rsid w:val="00BB0B0C"/>
    <w:rsid w:val="00BE3594"/>
    <w:rsid w:val="00BE5938"/>
    <w:rsid w:val="00BF06F1"/>
    <w:rsid w:val="00C553F4"/>
    <w:rsid w:val="00CB0156"/>
    <w:rsid w:val="00CC367E"/>
    <w:rsid w:val="00CF0FFB"/>
    <w:rsid w:val="00CF3D67"/>
    <w:rsid w:val="00D81E5F"/>
    <w:rsid w:val="00DB182C"/>
    <w:rsid w:val="00E720DC"/>
    <w:rsid w:val="00E7313D"/>
    <w:rsid w:val="00EB05A5"/>
    <w:rsid w:val="00EC3793"/>
    <w:rsid w:val="00EE3862"/>
    <w:rsid w:val="00F34465"/>
    <w:rsid w:val="00F4509A"/>
    <w:rsid w:val="00F46294"/>
    <w:rsid w:val="00F70AF9"/>
    <w:rsid w:val="00F92F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067"/>
    <w:rPr>
      <w:rFonts w:ascii="Calibri" w:eastAsia="Calibri" w:hAnsi="Calibri" w:cs="Times New Roman"/>
    </w:rPr>
  </w:style>
  <w:style w:type="paragraph" w:styleId="Heading1">
    <w:name w:val="heading 1"/>
    <w:basedOn w:val="Normal"/>
    <w:next w:val="Normal"/>
    <w:link w:val="Heading1Char"/>
    <w:uiPriority w:val="9"/>
    <w:qFormat/>
    <w:rsid w:val="00B66F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66067"/>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4">
    <w:name w:val="heading 4"/>
    <w:basedOn w:val="Normal"/>
    <w:next w:val="Normal"/>
    <w:link w:val="Heading4Char"/>
    <w:uiPriority w:val="9"/>
    <w:semiHidden/>
    <w:unhideWhenUsed/>
    <w:qFormat/>
    <w:rsid w:val="00B8560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6067"/>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066067"/>
    <w:rPr>
      <w:color w:val="0000FF" w:themeColor="hyperlink"/>
      <w:u w:val="single"/>
    </w:rPr>
  </w:style>
  <w:style w:type="paragraph" w:styleId="Header">
    <w:name w:val="header"/>
    <w:basedOn w:val="Normal"/>
    <w:link w:val="HeaderChar"/>
    <w:uiPriority w:val="99"/>
    <w:unhideWhenUsed/>
    <w:rsid w:val="000660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067"/>
    <w:rPr>
      <w:rFonts w:ascii="Calibri" w:eastAsia="Calibri" w:hAnsi="Calibri" w:cs="Times New Roman"/>
    </w:rPr>
  </w:style>
  <w:style w:type="paragraph" w:styleId="Footer">
    <w:name w:val="footer"/>
    <w:basedOn w:val="Normal"/>
    <w:link w:val="FooterChar"/>
    <w:uiPriority w:val="99"/>
    <w:unhideWhenUsed/>
    <w:rsid w:val="000660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067"/>
    <w:rPr>
      <w:rFonts w:ascii="Calibri" w:eastAsia="Calibri" w:hAnsi="Calibri" w:cs="Times New Roman"/>
    </w:rPr>
  </w:style>
  <w:style w:type="paragraph" w:styleId="BalloonText">
    <w:name w:val="Balloon Text"/>
    <w:basedOn w:val="Normal"/>
    <w:link w:val="BalloonTextChar"/>
    <w:uiPriority w:val="99"/>
    <w:semiHidden/>
    <w:unhideWhenUsed/>
    <w:rsid w:val="000660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067"/>
    <w:rPr>
      <w:rFonts w:ascii="Tahoma" w:eastAsia="Calibri" w:hAnsi="Tahoma" w:cs="Tahoma"/>
      <w:sz w:val="16"/>
      <w:szCs w:val="16"/>
    </w:rPr>
  </w:style>
  <w:style w:type="character" w:styleId="FollowedHyperlink">
    <w:name w:val="FollowedHyperlink"/>
    <w:basedOn w:val="DefaultParagraphFont"/>
    <w:uiPriority w:val="99"/>
    <w:semiHidden/>
    <w:unhideWhenUsed/>
    <w:rsid w:val="008B2269"/>
    <w:rPr>
      <w:color w:val="800080" w:themeColor="followedHyperlink"/>
      <w:u w:val="single"/>
    </w:rPr>
  </w:style>
  <w:style w:type="paragraph" w:styleId="NormalWeb">
    <w:name w:val="Normal (Web)"/>
    <w:basedOn w:val="Normal"/>
    <w:uiPriority w:val="99"/>
    <w:semiHidden/>
    <w:unhideWhenUsed/>
    <w:rsid w:val="00E720DC"/>
    <w:pPr>
      <w:spacing w:after="0" w:line="240" w:lineRule="auto"/>
    </w:pPr>
    <w:rPr>
      <w:rFonts w:ascii="Times New Roman" w:eastAsiaTheme="minorHAnsi" w:hAnsi="Times New Roman"/>
      <w:sz w:val="24"/>
      <w:szCs w:val="24"/>
      <w:lang w:eastAsia="en-GB"/>
    </w:rPr>
  </w:style>
  <w:style w:type="character" w:styleId="Strong">
    <w:name w:val="Strong"/>
    <w:basedOn w:val="DefaultParagraphFont"/>
    <w:uiPriority w:val="22"/>
    <w:qFormat/>
    <w:rsid w:val="00526B1B"/>
    <w:rPr>
      <w:b/>
      <w:bCs/>
    </w:rPr>
  </w:style>
  <w:style w:type="character" w:customStyle="1" w:styleId="Heading4Char">
    <w:name w:val="Heading 4 Char"/>
    <w:basedOn w:val="DefaultParagraphFont"/>
    <w:link w:val="Heading4"/>
    <w:uiPriority w:val="9"/>
    <w:semiHidden/>
    <w:rsid w:val="00B85605"/>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91480F"/>
    <w:pPr>
      <w:ind w:left="720"/>
      <w:contextualSpacing/>
    </w:pPr>
  </w:style>
  <w:style w:type="paragraph" w:customStyle="1" w:styleId="tagline">
    <w:name w:val="tagline"/>
    <w:next w:val="Normal"/>
    <w:rsid w:val="00B66F1D"/>
    <w:pPr>
      <w:spacing w:after="0" w:line="240" w:lineRule="auto"/>
    </w:pPr>
    <w:rPr>
      <w:rFonts w:ascii="Lucida Sans Unicode" w:eastAsia="Times New Roman" w:hAnsi="Lucida Sans Unicode" w:cs="Arial"/>
      <w:bCs/>
      <w:i/>
      <w:spacing w:val="10"/>
      <w:kern w:val="28"/>
      <w:sz w:val="48"/>
      <w:szCs w:val="28"/>
      <w:lang w:val="en"/>
    </w:rPr>
  </w:style>
  <w:style w:type="character" w:customStyle="1" w:styleId="Heading1Char">
    <w:name w:val="Heading 1 Char"/>
    <w:basedOn w:val="DefaultParagraphFont"/>
    <w:link w:val="Heading1"/>
    <w:uiPriority w:val="9"/>
    <w:rsid w:val="00B66F1D"/>
    <w:rPr>
      <w:rFonts w:asciiTheme="majorHAnsi" w:eastAsiaTheme="majorEastAsia" w:hAnsiTheme="majorHAnsi" w:cstheme="majorBidi"/>
      <w:b/>
      <w:bCs/>
      <w:color w:val="365F91" w:themeColor="accent1" w:themeShade="BF"/>
      <w:sz w:val="28"/>
      <w:szCs w:val="28"/>
    </w:rPr>
  </w:style>
  <w:style w:type="paragraph" w:customStyle="1" w:styleId="address">
    <w:name w:val="address"/>
    <w:basedOn w:val="Normal"/>
    <w:rsid w:val="00BE5938"/>
    <w:pPr>
      <w:spacing w:after="0" w:line="271" w:lineRule="auto"/>
      <w:jc w:val="center"/>
    </w:pPr>
    <w:rPr>
      <w:rFonts w:ascii="Tahoma" w:eastAsia="Times New Roman" w:hAnsi="Tahoma" w:cs="Arial"/>
      <w:kern w:val="28"/>
      <w:sz w:val="18"/>
      <w:szCs w:val="16"/>
      <w:lang w:val="en"/>
    </w:rPr>
  </w:style>
  <w:style w:type="paragraph" w:customStyle="1" w:styleId="Default">
    <w:name w:val="Default"/>
    <w:rsid w:val="004176BD"/>
    <w:pPr>
      <w:autoSpaceDE w:val="0"/>
      <w:autoSpaceDN w:val="0"/>
      <w:adjustRightInd w:val="0"/>
      <w:spacing w:after="0" w:line="240" w:lineRule="auto"/>
    </w:pPr>
    <w:rPr>
      <w:rFonts w:ascii="Calibri" w:hAnsi="Calibri" w:cs="Calibri"/>
      <w:color w:val="000000"/>
      <w:sz w:val="24"/>
      <w:szCs w:val="24"/>
    </w:rPr>
  </w:style>
  <w:style w:type="character" w:customStyle="1" w:styleId="prod-title">
    <w:name w:val="prod-title"/>
    <w:basedOn w:val="DefaultParagraphFont"/>
    <w:rsid w:val="008445A1"/>
  </w:style>
  <w:style w:type="character" w:customStyle="1" w:styleId="published-date">
    <w:name w:val="published-date"/>
    <w:basedOn w:val="DefaultParagraphFont"/>
    <w:rsid w:val="008445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067"/>
    <w:rPr>
      <w:rFonts w:ascii="Calibri" w:eastAsia="Calibri" w:hAnsi="Calibri" w:cs="Times New Roman"/>
    </w:rPr>
  </w:style>
  <w:style w:type="paragraph" w:styleId="Heading1">
    <w:name w:val="heading 1"/>
    <w:basedOn w:val="Normal"/>
    <w:next w:val="Normal"/>
    <w:link w:val="Heading1Char"/>
    <w:uiPriority w:val="9"/>
    <w:qFormat/>
    <w:rsid w:val="00B66F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066067"/>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4">
    <w:name w:val="heading 4"/>
    <w:basedOn w:val="Normal"/>
    <w:next w:val="Normal"/>
    <w:link w:val="Heading4Char"/>
    <w:uiPriority w:val="9"/>
    <w:semiHidden/>
    <w:unhideWhenUsed/>
    <w:qFormat/>
    <w:rsid w:val="00B8560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6067"/>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066067"/>
    <w:rPr>
      <w:color w:val="0000FF" w:themeColor="hyperlink"/>
      <w:u w:val="single"/>
    </w:rPr>
  </w:style>
  <w:style w:type="paragraph" w:styleId="Header">
    <w:name w:val="header"/>
    <w:basedOn w:val="Normal"/>
    <w:link w:val="HeaderChar"/>
    <w:uiPriority w:val="99"/>
    <w:unhideWhenUsed/>
    <w:rsid w:val="000660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067"/>
    <w:rPr>
      <w:rFonts w:ascii="Calibri" w:eastAsia="Calibri" w:hAnsi="Calibri" w:cs="Times New Roman"/>
    </w:rPr>
  </w:style>
  <w:style w:type="paragraph" w:styleId="Footer">
    <w:name w:val="footer"/>
    <w:basedOn w:val="Normal"/>
    <w:link w:val="FooterChar"/>
    <w:uiPriority w:val="99"/>
    <w:unhideWhenUsed/>
    <w:rsid w:val="000660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067"/>
    <w:rPr>
      <w:rFonts w:ascii="Calibri" w:eastAsia="Calibri" w:hAnsi="Calibri" w:cs="Times New Roman"/>
    </w:rPr>
  </w:style>
  <w:style w:type="paragraph" w:styleId="BalloonText">
    <w:name w:val="Balloon Text"/>
    <w:basedOn w:val="Normal"/>
    <w:link w:val="BalloonTextChar"/>
    <w:uiPriority w:val="99"/>
    <w:semiHidden/>
    <w:unhideWhenUsed/>
    <w:rsid w:val="000660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6067"/>
    <w:rPr>
      <w:rFonts w:ascii="Tahoma" w:eastAsia="Calibri" w:hAnsi="Tahoma" w:cs="Tahoma"/>
      <w:sz w:val="16"/>
      <w:szCs w:val="16"/>
    </w:rPr>
  </w:style>
  <w:style w:type="character" w:styleId="FollowedHyperlink">
    <w:name w:val="FollowedHyperlink"/>
    <w:basedOn w:val="DefaultParagraphFont"/>
    <w:uiPriority w:val="99"/>
    <w:semiHidden/>
    <w:unhideWhenUsed/>
    <w:rsid w:val="008B2269"/>
    <w:rPr>
      <w:color w:val="800080" w:themeColor="followedHyperlink"/>
      <w:u w:val="single"/>
    </w:rPr>
  </w:style>
  <w:style w:type="paragraph" w:styleId="NormalWeb">
    <w:name w:val="Normal (Web)"/>
    <w:basedOn w:val="Normal"/>
    <w:uiPriority w:val="99"/>
    <w:semiHidden/>
    <w:unhideWhenUsed/>
    <w:rsid w:val="00E720DC"/>
    <w:pPr>
      <w:spacing w:after="0" w:line="240" w:lineRule="auto"/>
    </w:pPr>
    <w:rPr>
      <w:rFonts w:ascii="Times New Roman" w:eastAsiaTheme="minorHAnsi" w:hAnsi="Times New Roman"/>
      <w:sz w:val="24"/>
      <w:szCs w:val="24"/>
      <w:lang w:eastAsia="en-GB"/>
    </w:rPr>
  </w:style>
  <w:style w:type="character" w:styleId="Strong">
    <w:name w:val="Strong"/>
    <w:basedOn w:val="DefaultParagraphFont"/>
    <w:uiPriority w:val="22"/>
    <w:qFormat/>
    <w:rsid w:val="00526B1B"/>
    <w:rPr>
      <w:b/>
      <w:bCs/>
    </w:rPr>
  </w:style>
  <w:style w:type="character" w:customStyle="1" w:styleId="Heading4Char">
    <w:name w:val="Heading 4 Char"/>
    <w:basedOn w:val="DefaultParagraphFont"/>
    <w:link w:val="Heading4"/>
    <w:uiPriority w:val="9"/>
    <w:semiHidden/>
    <w:rsid w:val="00B85605"/>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91480F"/>
    <w:pPr>
      <w:ind w:left="720"/>
      <w:contextualSpacing/>
    </w:pPr>
  </w:style>
  <w:style w:type="paragraph" w:customStyle="1" w:styleId="tagline">
    <w:name w:val="tagline"/>
    <w:next w:val="Normal"/>
    <w:rsid w:val="00B66F1D"/>
    <w:pPr>
      <w:spacing w:after="0" w:line="240" w:lineRule="auto"/>
    </w:pPr>
    <w:rPr>
      <w:rFonts w:ascii="Lucida Sans Unicode" w:eastAsia="Times New Roman" w:hAnsi="Lucida Sans Unicode" w:cs="Arial"/>
      <w:bCs/>
      <w:i/>
      <w:spacing w:val="10"/>
      <w:kern w:val="28"/>
      <w:sz w:val="48"/>
      <w:szCs w:val="28"/>
      <w:lang w:val="en"/>
    </w:rPr>
  </w:style>
  <w:style w:type="character" w:customStyle="1" w:styleId="Heading1Char">
    <w:name w:val="Heading 1 Char"/>
    <w:basedOn w:val="DefaultParagraphFont"/>
    <w:link w:val="Heading1"/>
    <w:uiPriority w:val="9"/>
    <w:rsid w:val="00B66F1D"/>
    <w:rPr>
      <w:rFonts w:asciiTheme="majorHAnsi" w:eastAsiaTheme="majorEastAsia" w:hAnsiTheme="majorHAnsi" w:cstheme="majorBidi"/>
      <w:b/>
      <w:bCs/>
      <w:color w:val="365F91" w:themeColor="accent1" w:themeShade="BF"/>
      <w:sz w:val="28"/>
      <w:szCs w:val="28"/>
    </w:rPr>
  </w:style>
  <w:style w:type="paragraph" w:customStyle="1" w:styleId="address">
    <w:name w:val="address"/>
    <w:basedOn w:val="Normal"/>
    <w:rsid w:val="00BE5938"/>
    <w:pPr>
      <w:spacing w:after="0" w:line="271" w:lineRule="auto"/>
      <w:jc w:val="center"/>
    </w:pPr>
    <w:rPr>
      <w:rFonts w:ascii="Tahoma" w:eastAsia="Times New Roman" w:hAnsi="Tahoma" w:cs="Arial"/>
      <w:kern w:val="28"/>
      <w:sz w:val="18"/>
      <w:szCs w:val="16"/>
      <w:lang w:val="en"/>
    </w:rPr>
  </w:style>
  <w:style w:type="paragraph" w:customStyle="1" w:styleId="Default">
    <w:name w:val="Default"/>
    <w:rsid w:val="004176BD"/>
    <w:pPr>
      <w:autoSpaceDE w:val="0"/>
      <w:autoSpaceDN w:val="0"/>
      <w:adjustRightInd w:val="0"/>
      <w:spacing w:after="0" w:line="240" w:lineRule="auto"/>
    </w:pPr>
    <w:rPr>
      <w:rFonts w:ascii="Calibri" w:hAnsi="Calibri" w:cs="Calibri"/>
      <w:color w:val="000000"/>
      <w:sz w:val="24"/>
      <w:szCs w:val="24"/>
    </w:rPr>
  </w:style>
  <w:style w:type="character" w:customStyle="1" w:styleId="prod-title">
    <w:name w:val="prod-title"/>
    <w:basedOn w:val="DefaultParagraphFont"/>
    <w:rsid w:val="008445A1"/>
  </w:style>
  <w:style w:type="character" w:customStyle="1" w:styleId="published-date">
    <w:name w:val="published-date"/>
    <w:basedOn w:val="DefaultParagraphFont"/>
    <w:rsid w:val="008445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19052">
      <w:bodyDiv w:val="1"/>
      <w:marLeft w:val="0"/>
      <w:marRight w:val="0"/>
      <w:marTop w:val="0"/>
      <w:marBottom w:val="0"/>
      <w:divBdr>
        <w:top w:val="none" w:sz="0" w:space="0" w:color="auto"/>
        <w:left w:val="none" w:sz="0" w:space="0" w:color="auto"/>
        <w:bottom w:val="none" w:sz="0" w:space="0" w:color="auto"/>
        <w:right w:val="none" w:sz="0" w:space="0" w:color="auto"/>
      </w:divBdr>
    </w:div>
    <w:div w:id="142285272">
      <w:bodyDiv w:val="1"/>
      <w:marLeft w:val="0"/>
      <w:marRight w:val="0"/>
      <w:marTop w:val="0"/>
      <w:marBottom w:val="0"/>
      <w:divBdr>
        <w:top w:val="none" w:sz="0" w:space="0" w:color="auto"/>
        <w:left w:val="none" w:sz="0" w:space="0" w:color="auto"/>
        <w:bottom w:val="none" w:sz="0" w:space="0" w:color="auto"/>
        <w:right w:val="none" w:sz="0" w:space="0" w:color="auto"/>
      </w:divBdr>
    </w:div>
    <w:div w:id="185407442">
      <w:bodyDiv w:val="1"/>
      <w:marLeft w:val="0"/>
      <w:marRight w:val="0"/>
      <w:marTop w:val="0"/>
      <w:marBottom w:val="0"/>
      <w:divBdr>
        <w:top w:val="none" w:sz="0" w:space="0" w:color="auto"/>
        <w:left w:val="none" w:sz="0" w:space="0" w:color="auto"/>
        <w:bottom w:val="none" w:sz="0" w:space="0" w:color="auto"/>
        <w:right w:val="none" w:sz="0" w:space="0" w:color="auto"/>
      </w:divBdr>
    </w:div>
    <w:div w:id="480314514">
      <w:bodyDiv w:val="1"/>
      <w:marLeft w:val="0"/>
      <w:marRight w:val="0"/>
      <w:marTop w:val="0"/>
      <w:marBottom w:val="0"/>
      <w:divBdr>
        <w:top w:val="none" w:sz="0" w:space="0" w:color="auto"/>
        <w:left w:val="none" w:sz="0" w:space="0" w:color="auto"/>
        <w:bottom w:val="none" w:sz="0" w:space="0" w:color="auto"/>
        <w:right w:val="none" w:sz="0" w:space="0" w:color="auto"/>
      </w:divBdr>
    </w:div>
    <w:div w:id="547061708">
      <w:bodyDiv w:val="1"/>
      <w:marLeft w:val="0"/>
      <w:marRight w:val="0"/>
      <w:marTop w:val="0"/>
      <w:marBottom w:val="0"/>
      <w:divBdr>
        <w:top w:val="none" w:sz="0" w:space="0" w:color="auto"/>
        <w:left w:val="none" w:sz="0" w:space="0" w:color="auto"/>
        <w:bottom w:val="none" w:sz="0" w:space="0" w:color="auto"/>
        <w:right w:val="none" w:sz="0" w:space="0" w:color="auto"/>
      </w:divBdr>
    </w:div>
    <w:div w:id="607934646">
      <w:bodyDiv w:val="1"/>
      <w:marLeft w:val="0"/>
      <w:marRight w:val="0"/>
      <w:marTop w:val="0"/>
      <w:marBottom w:val="0"/>
      <w:divBdr>
        <w:top w:val="none" w:sz="0" w:space="0" w:color="auto"/>
        <w:left w:val="none" w:sz="0" w:space="0" w:color="auto"/>
        <w:bottom w:val="none" w:sz="0" w:space="0" w:color="auto"/>
        <w:right w:val="none" w:sz="0" w:space="0" w:color="auto"/>
      </w:divBdr>
    </w:div>
    <w:div w:id="613634123">
      <w:bodyDiv w:val="1"/>
      <w:marLeft w:val="0"/>
      <w:marRight w:val="0"/>
      <w:marTop w:val="0"/>
      <w:marBottom w:val="0"/>
      <w:divBdr>
        <w:top w:val="none" w:sz="0" w:space="0" w:color="auto"/>
        <w:left w:val="none" w:sz="0" w:space="0" w:color="auto"/>
        <w:bottom w:val="none" w:sz="0" w:space="0" w:color="auto"/>
        <w:right w:val="none" w:sz="0" w:space="0" w:color="auto"/>
      </w:divBdr>
    </w:div>
    <w:div w:id="685332617">
      <w:bodyDiv w:val="1"/>
      <w:marLeft w:val="0"/>
      <w:marRight w:val="0"/>
      <w:marTop w:val="0"/>
      <w:marBottom w:val="0"/>
      <w:divBdr>
        <w:top w:val="none" w:sz="0" w:space="0" w:color="auto"/>
        <w:left w:val="none" w:sz="0" w:space="0" w:color="auto"/>
        <w:bottom w:val="none" w:sz="0" w:space="0" w:color="auto"/>
        <w:right w:val="none" w:sz="0" w:space="0" w:color="auto"/>
      </w:divBdr>
    </w:div>
    <w:div w:id="809905193">
      <w:bodyDiv w:val="1"/>
      <w:marLeft w:val="0"/>
      <w:marRight w:val="0"/>
      <w:marTop w:val="0"/>
      <w:marBottom w:val="0"/>
      <w:divBdr>
        <w:top w:val="none" w:sz="0" w:space="0" w:color="auto"/>
        <w:left w:val="none" w:sz="0" w:space="0" w:color="auto"/>
        <w:bottom w:val="none" w:sz="0" w:space="0" w:color="auto"/>
        <w:right w:val="none" w:sz="0" w:space="0" w:color="auto"/>
      </w:divBdr>
    </w:div>
    <w:div w:id="841433784">
      <w:bodyDiv w:val="1"/>
      <w:marLeft w:val="0"/>
      <w:marRight w:val="0"/>
      <w:marTop w:val="0"/>
      <w:marBottom w:val="0"/>
      <w:divBdr>
        <w:top w:val="none" w:sz="0" w:space="0" w:color="auto"/>
        <w:left w:val="none" w:sz="0" w:space="0" w:color="auto"/>
        <w:bottom w:val="none" w:sz="0" w:space="0" w:color="auto"/>
        <w:right w:val="none" w:sz="0" w:space="0" w:color="auto"/>
      </w:divBdr>
    </w:div>
    <w:div w:id="872310183">
      <w:bodyDiv w:val="1"/>
      <w:marLeft w:val="0"/>
      <w:marRight w:val="0"/>
      <w:marTop w:val="0"/>
      <w:marBottom w:val="0"/>
      <w:divBdr>
        <w:top w:val="none" w:sz="0" w:space="0" w:color="auto"/>
        <w:left w:val="none" w:sz="0" w:space="0" w:color="auto"/>
        <w:bottom w:val="none" w:sz="0" w:space="0" w:color="auto"/>
        <w:right w:val="none" w:sz="0" w:space="0" w:color="auto"/>
      </w:divBdr>
    </w:div>
    <w:div w:id="910507083">
      <w:bodyDiv w:val="1"/>
      <w:marLeft w:val="0"/>
      <w:marRight w:val="0"/>
      <w:marTop w:val="0"/>
      <w:marBottom w:val="0"/>
      <w:divBdr>
        <w:top w:val="none" w:sz="0" w:space="0" w:color="auto"/>
        <w:left w:val="none" w:sz="0" w:space="0" w:color="auto"/>
        <w:bottom w:val="none" w:sz="0" w:space="0" w:color="auto"/>
        <w:right w:val="none" w:sz="0" w:space="0" w:color="auto"/>
      </w:divBdr>
    </w:div>
    <w:div w:id="1296595590">
      <w:bodyDiv w:val="1"/>
      <w:marLeft w:val="0"/>
      <w:marRight w:val="0"/>
      <w:marTop w:val="0"/>
      <w:marBottom w:val="0"/>
      <w:divBdr>
        <w:top w:val="none" w:sz="0" w:space="0" w:color="auto"/>
        <w:left w:val="none" w:sz="0" w:space="0" w:color="auto"/>
        <w:bottom w:val="none" w:sz="0" w:space="0" w:color="auto"/>
        <w:right w:val="none" w:sz="0" w:space="0" w:color="auto"/>
      </w:divBdr>
    </w:div>
    <w:div w:id="1495336212">
      <w:bodyDiv w:val="1"/>
      <w:marLeft w:val="0"/>
      <w:marRight w:val="0"/>
      <w:marTop w:val="0"/>
      <w:marBottom w:val="0"/>
      <w:divBdr>
        <w:top w:val="none" w:sz="0" w:space="0" w:color="auto"/>
        <w:left w:val="none" w:sz="0" w:space="0" w:color="auto"/>
        <w:bottom w:val="none" w:sz="0" w:space="0" w:color="auto"/>
        <w:right w:val="none" w:sz="0" w:space="0" w:color="auto"/>
      </w:divBdr>
    </w:div>
    <w:div w:id="1594630331">
      <w:bodyDiv w:val="1"/>
      <w:marLeft w:val="0"/>
      <w:marRight w:val="0"/>
      <w:marTop w:val="0"/>
      <w:marBottom w:val="0"/>
      <w:divBdr>
        <w:top w:val="none" w:sz="0" w:space="0" w:color="auto"/>
        <w:left w:val="none" w:sz="0" w:space="0" w:color="auto"/>
        <w:bottom w:val="none" w:sz="0" w:space="0" w:color="auto"/>
        <w:right w:val="none" w:sz="0" w:space="0" w:color="auto"/>
      </w:divBdr>
    </w:div>
    <w:div w:id="1644389717">
      <w:bodyDiv w:val="1"/>
      <w:marLeft w:val="0"/>
      <w:marRight w:val="0"/>
      <w:marTop w:val="0"/>
      <w:marBottom w:val="0"/>
      <w:divBdr>
        <w:top w:val="none" w:sz="0" w:space="0" w:color="auto"/>
        <w:left w:val="none" w:sz="0" w:space="0" w:color="auto"/>
        <w:bottom w:val="none" w:sz="0" w:space="0" w:color="auto"/>
        <w:right w:val="none" w:sz="0" w:space="0" w:color="auto"/>
      </w:divBdr>
    </w:div>
    <w:div w:id="1668243621">
      <w:bodyDiv w:val="1"/>
      <w:marLeft w:val="0"/>
      <w:marRight w:val="0"/>
      <w:marTop w:val="0"/>
      <w:marBottom w:val="0"/>
      <w:divBdr>
        <w:top w:val="none" w:sz="0" w:space="0" w:color="auto"/>
        <w:left w:val="none" w:sz="0" w:space="0" w:color="auto"/>
        <w:bottom w:val="none" w:sz="0" w:space="0" w:color="auto"/>
        <w:right w:val="none" w:sz="0" w:space="0" w:color="auto"/>
      </w:divBdr>
    </w:div>
    <w:div w:id="1725833724">
      <w:bodyDiv w:val="1"/>
      <w:marLeft w:val="0"/>
      <w:marRight w:val="0"/>
      <w:marTop w:val="0"/>
      <w:marBottom w:val="0"/>
      <w:divBdr>
        <w:top w:val="none" w:sz="0" w:space="0" w:color="auto"/>
        <w:left w:val="none" w:sz="0" w:space="0" w:color="auto"/>
        <w:bottom w:val="none" w:sz="0" w:space="0" w:color="auto"/>
        <w:right w:val="none" w:sz="0" w:space="0" w:color="auto"/>
      </w:divBdr>
    </w:div>
    <w:div w:id="1729258539">
      <w:bodyDiv w:val="1"/>
      <w:marLeft w:val="0"/>
      <w:marRight w:val="0"/>
      <w:marTop w:val="0"/>
      <w:marBottom w:val="0"/>
      <w:divBdr>
        <w:top w:val="none" w:sz="0" w:space="0" w:color="auto"/>
        <w:left w:val="none" w:sz="0" w:space="0" w:color="auto"/>
        <w:bottom w:val="none" w:sz="0" w:space="0" w:color="auto"/>
        <w:right w:val="none" w:sz="0" w:space="0" w:color="auto"/>
      </w:divBdr>
    </w:div>
    <w:div w:id="1762944296">
      <w:bodyDiv w:val="1"/>
      <w:marLeft w:val="0"/>
      <w:marRight w:val="0"/>
      <w:marTop w:val="0"/>
      <w:marBottom w:val="0"/>
      <w:divBdr>
        <w:top w:val="none" w:sz="0" w:space="0" w:color="auto"/>
        <w:left w:val="none" w:sz="0" w:space="0" w:color="auto"/>
        <w:bottom w:val="none" w:sz="0" w:space="0" w:color="auto"/>
        <w:right w:val="none" w:sz="0" w:space="0" w:color="auto"/>
      </w:divBdr>
    </w:div>
    <w:div w:id="1787577281">
      <w:bodyDiv w:val="1"/>
      <w:marLeft w:val="0"/>
      <w:marRight w:val="0"/>
      <w:marTop w:val="0"/>
      <w:marBottom w:val="0"/>
      <w:divBdr>
        <w:top w:val="none" w:sz="0" w:space="0" w:color="auto"/>
        <w:left w:val="none" w:sz="0" w:space="0" w:color="auto"/>
        <w:bottom w:val="none" w:sz="0" w:space="0" w:color="auto"/>
        <w:right w:val="none" w:sz="0" w:space="0" w:color="auto"/>
      </w:divBdr>
    </w:div>
    <w:div w:id="1817141367">
      <w:bodyDiv w:val="1"/>
      <w:marLeft w:val="0"/>
      <w:marRight w:val="0"/>
      <w:marTop w:val="0"/>
      <w:marBottom w:val="0"/>
      <w:divBdr>
        <w:top w:val="none" w:sz="0" w:space="0" w:color="auto"/>
        <w:left w:val="none" w:sz="0" w:space="0" w:color="auto"/>
        <w:bottom w:val="none" w:sz="0" w:space="0" w:color="auto"/>
        <w:right w:val="none" w:sz="0" w:space="0" w:color="auto"/>
      </w:divBdr>
    </w:div>
    <w:div w:id="2079743376">
      <w:bodyDiv w:val="1"/>
      <w:marLeft w:val="0"/>
      <w:marRight w:val="0"/>
      <w:marTop w:val="0"/>
      <w:marBottom w:val="0"/>
      <w:divBdr>
        <w:top w:val="none" w:sz="0" w:space="0" w:color="auto"/>
        <w:left w:val="none" w:sz="0" w:space="0" w:color="auto"/>
        <w:bottom w:val="none" w:sz="0" w:space="0" w:color="auto"/>
        <w:right w:val="none" w:sz="0" w:space="0" w:color="auto"/>
      </w:divBdr>
    </w:div>
    <w:div w:id="2084909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hropshireccg.nhs.uk/professional-resources/medicines-management/documents-to-support-prescribing/" TargetMode="External"/><Relationship Id="rId13" Type="http://schemas.openxmlformats.org/officeDocument/2006/relationships/hyperlink" Target="https://www.nice.org.uk/guidance/ng115" TargetMode="External"/><Relationship Id="rId18" Type="http://schemas.openxmlformats.org/officeDocument/2006/relationships/hyperlink" Target="https://www.nice.org.uk/guidance/ng114/resources/visual-summary-pdf-6602624893"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www.shropshireccg.nhs.uk/medicines-management" TargetMode="External"/><Relationship Id="rId7" Type="http://schemas.openxmlformats.org/officeDocument/2006/relationships/endnotes" Target="endnotes.xml"/><Relationship Id="rId12" Type="http://schemas.openxmlformats.org/officeDocument/2006/relationships/hyperlink" Target="https://www.sps.nhs.uk/articles/insulin-preparations-rmoc-recommendations-of-safety-considerations-for-formulary-decision-making/" TargetMode="External"/><Relationship Id="rId17" Type="http://schemas.openxmlformats.org/officeDocument/2006/relationships/hyperlink" Target="https://www.nice.org.uk/guidance/ng114"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nice.org.uk/guidance/ng115/resources/visual-summary-treatment-algorithm-pdf-6604261741" TargetMode="External"/><Relationship Id="rId20" Type="http://schemas.openxmlformats.org/officeDocument/2006/relationships/hyperlink" Target="https://www.gov.uk/drug-safety-update/valproate-medicines-are-you-in-acting-in-compliance-with-the-pregnancy-prevention-measures?utm_source=eshot&amp;utm_medium=email&amp;utm_campaign=DSU_December2018Split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mprovement.nhs.uk/news-alerts/risk-severe-harm-and-death-withdrawing-insulin-pen-devices/"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nice.org.uk/guidance/ng115" TargetMode="External"/><Relationship Id="rId23" Type="http://schemas.openxmlformats.org/officeDocument/2006/relationships/hyperlink" Target="mailto:besteban@rovi.com" TargetMode="External"/><Relationship Id="rId10" Type="http://schemas.openxmlformats.org/officeDocument/2006/relationships/hyperlink" Target="https://www.nice.org.uk/advice/ktt20" TargetMode="External"/><Relationship Id="rId19" Type="http://schemas.openxmlformats.org/officeDocument/2006/relationships/hyperlink" Target="https://www.telfordccg.nhs.uk/your-health/medicines-management/care-homes/guidelines" TargetMode="External"/><Relationship Id="rId4" Type="http://schemas.openxmlformats.org/officeDocument/2006/relationships/settings" Target="settings.xml"/><Relationship Id="rId9" Type="http://schemas.openxmlformats.org/officeDocument/2006/relationships/hyperlink" Target="https://www.gov.uk/drug-safety-update/high-strength-fixed-combination-and-biosimilar-insulin-products-minimising-the-risk-of-medication-error" TargetMode="External"/><Relationship Id="rId14" Type="http://schemas.openxmlformats.org/officeDocument/2006/relationships/hyperlink" Target="https://www.nice.org.uk/guidance/ng114" TargetMode="External"/><Relationship Id="rId22" Type="http://schemas.openxmlformats.org/officeDocument/2006/relationships/hyperlink" Target="mailto:jo.phillips@uk.techdow.com"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1343</Words>
  <Characters>7660</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NHS Shropshire CCG / NHS Telford CCG</Company>
  <LinksUpToDate>false</LinksUpToDate>
  <CharactersWithSpaces>8986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Rutherford</dc:creator>
  <cp:lastModifiedBy>Jenny Stevenson</cp:lastModifiedBy>
  <cp:revision>2</cp:revision>
  <dcterms:created xsi:type="dcterms:W3CDTF">2019-02-06T14:14:00Z</dcterms:created>
  <dcterms:modified xsi:type="dcterms:W3CDTF">2019-02-06T14:14:00Z</dcterms:modified>
</cp:coreProperties>
</file>